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62FE2F">
      <w:pPr>
        <w:pStyle w:val="3"/>
        <w:spacing w:before="0" w:after="0"/>
        <w:jc w:val="center"/>
        <w:rPr>
          <w:rFonts w:hint="eastAsia" w:ascii="宋体" w:hAnsi="宋体" w:cs="宋体"/>
          <w:color w:val="auto"/>
          <w:sz w:val="32"/>
          <w:szCs w:val="32"/>
          <w:highlight w:val="none"/>
        </w:rPr>
      </w:pPr>
      <w:bookmarkStart w:id="0" w:name="_Toc3165"/>
      <w:r>
        <w:rPr>
          <w:rFonts w:hint="eastAsia" w:ascii="宋体" w:hAnsi="宋体" w:cs="宋体"/>
          <w:color w:val="auto"/>
          <w:sz w:val="32"/>
          <w:szCs w:val="32"/>
          <w:highlight w:val="none"/>
        </w:rPr>
        <w:t>第四章  采购需求</w:t>
      </w:r>
      <w:bookmarkEnd w:id="0"/>
    </w:p>
    <w:p w14:paraId="1402F346">
      <w:pPr>
        <w:widowControl/>
        <w:adjustRightInd w:val="0"/>
        <w:spacing w:line="360" w:lineRule="auto"/>
        <w:rPr>
          <w:rFonts w:ascii="宋体" w:hAnsi="宋体"/>
          <w:b/>
          <w:color w:val="auto"/>
          <w:kern w:val="0"/>
          <w:sz w:val="21"/>
          <w:szCs w:val="21"/>
          <w:highlight w:val="none"/>
        </w:rPr>
      </w:pPr>
      <w:bookmarkStart w:id="1" w:name="_Toc373230032"/>
      <w:bookmarkStart w:id="2" w:name="_Toc4426"/>
      <w:bookmarkStart w:id="3" w:name="_Toc374512420"/>
      <w:r>
        <w:rPr>
          <w:rFonts w:hint="eastAsia" w:ascii="宋体" w:hAnsi="宋体" w:cs="宋体"/>
          <w:b/>
          <w:color w:val="auto"/>
          <w:sz w:val="21"/>
          <w:szCs w:val="21"/>
          <w:highlight w:val="none"/>
        </w:rPr>
        <w:t>一、</w:t>
      </w:r>
      <w:r>
        <w:rPr>
          <w:rFonts w:ascii="宋体" w:hAnsi="宋体"/>
          <w:b/>
          <w:color w:val="auto"/>
          <w:kern w:val="0"/>
          <w:sz w:val="21"/>
          <w:szCs w:val="21"/>
          <w:highlight w:val="none"/>
        </w:rPr>
        <w:t>相关说明</w:t>
      </w:r>
    </w:p>
    <w:p w14:paraId="13B6B07E">
      <w:pPr>
        <w:widowControl/>
        <w:numPr>
          <w:ilvl w:val="2"/>
          <w:numId w:val="1"/>
        </w:numPr>
        <w:adjustRightInd w:val="0"/>
        <w:spacing w:line="360" w:lineRule="auto"/>
        <w:ind w:firstLine="420" w:firstLineChars="200"/>
        <w:jc w:val="left"/>
        <w:rPr>
          <w:rFonts w:hint="eastAsia" w:ascii="宋体" w:hAnsi="宋体"/>
          <w:color w:val="auto"/>
          <w:kern w:val="0"/>
          <w:sz w:val="21"/>
          <w:szCs w:val="21"/>
          <w:highlight w:val="none"/>
        </w:rPr>
      </w:pPr>
      <w:r>
        <w:rPr>
          <w:rFonts w:hint="eastAsia" w:ascii="宋体" w:hAnsi="宋体"/>
          <w:color w:val="auto"/>
          <w:kern w:val="0"/>
          <w:sz w:val="21"/>
          <w:szCs w:val="21"/>
          <w:highlight w:val="none"/>
        </w:rPr>
        <w:t>本次采购内容如果要求的某些技术标准低于国家标准，均以最新的国家标准为准。</w:t>
      </w:r>
      <w:r>
        <w:rPr>
          <w:rFonts w:hint="eastAsia" w:ascii="宋体" w:hAnsi="宋体"/>
          <w:color w:val="auto"/>
          <w:kern w:val="0"/>
          <w:sz w:val="21"/>
          <w:szCs w:val="21"/>
          <w:highlight w:val="none"/>
          <w:lang w:eastAsia="zh-CN"/>
        </w:rPr>
        <w:t>采购</w:t>
      </w:r>
      <w:r>
        <w:rPr>
          <w:rFonts w:hint="eastAsia" w:ascii="宋体" w:hAnsi="宋体"/>
          <w:color w:val="auto"/>
          <w:kern w:val="0"/>
          <w:sz w:val="21"/>
          <w:szCs w:val="21"/>
          <w:highlight w:val="none"/>
        </w:rPr>
        <w:t>技术要求中未明确的技术标准也均不得低于国家标准；</w:t>
      </w:r>
    </w:p>
    <w:p w14:paraId="2B5FBAF0">
      <w:pPr>
        <w:widowControl/>
        <w:numPr>
          <w:ilvl w:val="2"/>
          <w:numId w:val="1"/>
        </w:numPr>
        <w:adjustRightInd w:val="0"/>
        <w:spacing w:line="360" w:lineRule="auto"/>
        <w:ind w:firstLine="420" w:firstLineChars="200"/>
        <w:jc w:val="left"/>
        <w:rPr>
          <w:rFonts w:hint="eastAsia" w:ascii="宋体" w:hAnsi="宋体"/>
          <w:color w:val="auto"/>
          <w:kern w:val="0"/>
          <w:sz w:val="21"/>
          <w:szCs w:val="21"/>
          <w:highlight w:val="none"/>
        </w:rPr>
      </w:pPr>
      <w:r>
        <w:rPr>
          <w:rFonts w:ascii="宋体" w:hAnsi="宋体"/>
          <w:color w:val="auto"/>
          <w:kern w:val="0"/>
          <w:sz w:val="21"/>
          <w:szCs w:val="21"/>
          <w:highlight w:val="none"/>
        </w:rPr>
        <w:t>本采购项目为交钥匙项目，</w:t>
      </w:r>
      <w:r>
        <w:rPr>
          <w:rFonts w:hint="eastAsia" w:ascii="宋体" w:hAnsi="宋体"/>
          <w:color w:val="auto"/>
          <w:kern w:val="0"/>
          <w:sz w:val="21"/>
          <w:szCs w:val="21"/>
          <w:highlight w:val="none"/>
        </w:rPr>
        <w:t>验收合格前</w:t>
      </w:r>
      <w:r>
        <w:rPr>
          <w:rFonts w:ascii="宋体" w:hAnsi="宋体"/>
          <w:color w:val="auto"/>
          <w:kern w:val="0"/>
          <w:sz w:val="21"/>
          <w:szCs w:val="21"/>
          <w:highlight w:val="none"/>
        </w:rPr>
        <w:t>所需的一切费用</w:t>
      </w:r>
      <w:r>
        <w:rPr>
          <w:rFonts w:hint="eastAsia" w:ascii="宋体" w:hAnsi="宋体"/>
          <w:color w:val="auto"/>
          <w:kern w:val="0"/>
          <w:sz w:val="21"/>
          <w:szCs w:val="21"/>
          <w:highlight w:val="none"/>
        </w:rPr>
        <w:t>均</w:t>
      </w:r>
      <w:r>
        <w:rPr>
          <w:rFonts w:ascii="宋体" w:hAnsi="宋体"/>
          <w:color w:val="auto"/>
          <w:kern w:val="0"/>
          <w:sz w:val="21"/>
          <w:szCs w:val="21"/>
          <w:highlight w:val="none"/>
        </w:rPr>
        <w:t>包含在报价之中，采购人不</w:t>
      </w:r>
      <w:r>
        <w:rPr>
          <w:rFonts w:hint="eastAsia" w:ascii="宋体" w:hAnsi="宋体"/>
          <w:color w:val="auto"/>
          <w:kern w:val="0"/>
          <w:sz w:val="21"/>
          <w:szCs w:val="21"/>
          <w:highlight w:val="none"/>
        </w:rPr>
        <w:t>承担成交价格以外的</w:t>
      </w:r>
      <w:r>
        <w:rPr>
          <w:rFonts w:ascii="宋体" w:hAnsi="宋体"/>
          <w:color w:val="auto"/>
          <w:kern w:val="0"/>
          <w:sz w:val="21"/>
          <w:szCs w:val="21"/>
          <w:highlight w:val="none"/>
        </w:rPr>
        <w:t>任何费用。</w:t>
      </w:r>
    </w:p>
    <w:p w14:paraId="6C5CC222">
      <w:pPr>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lang w:val="en-US" w:eastAsia="zh-CN"/>
        </w:rPr>
        <w:t>二、</w:t>
      </w:r>
      <w:r>
        <w:rPr>
          <w:rFonts w:hint="eastAsia" w:ascii="宋体" w:hAnsi="宋体" w:cs="宋体"/>
          <w:b/>
          <w:color w:val="auto"/>
          <w:sz w:val="21"/>
          <w:szCs w:val="21"/>
          <w:highlight w:val="none"/>
        </w:rPr>
        <w:t>商务要求</w:t>
      </w:r>
    </w:p>
    <w:p w14:paraId="48A58A28">
      <w:pPr>
        <w:numPr>
          <w:ilvl w:val="2"/>
          <w:numId w:val="0"/>
        </w:numPr>
        <w:spacing w:line="360" w:lineRule="auto"/>
        <w:ind w:left="0" w:leftChars="0" w:firstLine="420" w:firstLineChars="200"/>
        <w:rPr>
          <w:rFonts w:hint="default" w:ascii="宋体" w:hAnsi="宋体" w:eastAsia="宋体" w:cs="Times New Roman"/>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1.</w:t>
      </w:r>
      <w:r>
        <w:rPr>
          <w:rFonts w:hint="eastAsia" w:ascii="宋体" w:hAnsi="宋体"/>
          <w:color w:val="auto"/>
          <w:sz w:val="21"/>
          <w:szCs w:val="21"/>
          <w:highlight w:val="none"/>
        </w:rPr>
        <w:t>合同履行期限：</w:t>
      </w:r>
      <w:r>
        <w:rPr>
          <w:rFonts w:hint="eastAsia" w:ascii="宋体" w:hAnsi="宋体" w:eastAsia="宋体" w:cs="Times New Roman"/>
          <w:color w:val="auto"/>
          <w:sz w:val="21"/>
          <w:szCs w:val="21"/>
          <w:highlight w:val="none"/>
          <w:lang w:val="en-US" w:eastAsia="zh-CN"/>
        </w:rPr>
        <w:t>30日历天</w:t>
      </w:r>
    </w:p>
    <w:p w14:paraId="5324B5EB">
      <w:pPr>
        <w:numPr>
          <w:ilvl w:val="2"/>
          <w:numId w:val="0"/>
        </w:numPr>
        <w:spacing w:line="360" w:lineRule="auto"/>
        <w:ind w:left="0" w:leftChars="0" w:firstLine="420" w:firstLineChars="200"/>
        <w:rPr>
          <w:rFonts w:hint="default" w:ascii="宋体" w:hAnsi="宋体" w:eastAsia="宋体"/>
          <w:color w:val="auto"/>
          <w:sz w:val="21"/>
          <w:szCs w:val="21"/>
          <w:highlight w:val="none"/>
          <w:lang w:val="en-US" w:eastAsia="zh-CN"/>
        </w:rPr>
      </w:pPr>
      <w:r>
        <w:rPr>
          <w:rFonts w:hint="default" w:ascii="宋体" w:hAnsi="宋体" w:eastAsia="宋体" w:cs="宋体"/>
          <w:color w:val="auto"/>
          <w:kern w:val="2"/>
          <w:sz w:val="21"/>
          <w:szCs w:val="21"/>
          <w:highlight w:val="none"/>
          <w:lang w:val="en-US" w:eastAsia="zh-CN" w:bidi="ar-SA"/>
        </w:rPr>
        <w:t>2.</w:t>
      </w:r>
      <w:r>
        <w:rPr>
          <w:rFonts w:hint="eastAsia" w:ascii="宋体" w:hAnsi="宋体"/>
          <w:color w:val="auto"/>
          <w:sz w:val="21"/>
          <w:szCs w:val="21"/>
          <w:highlight w:val="none"/>
        </w:rPr>
        <w:t>供货地点：</w:t>
      </w:r>
      <w:r>
        <w:rPr>
          <w:rFonts w:hint="eastAsia" w:ascii="宋体" w:hAnsi="宋体"/>
          <w:color w:val="auto"/>
          <w:sz w:val="21"/>
          <w:szCs w:val="21"/>
          <w:highlight w:val="none"/>
          <w:lang w:val="en-US" w:eastAsia="zh-CN"/>
        </w:rPr>
        <w:t>武陟县人民医院</w:t>
      </w:r>
    </w:p>
    <w:p w14:paraId="72B1E659">
      <w:pPr>
        <w:numPr>
          <w:ilvl w:val="2"/>
          <w:numId w:val="0"/>
        </w:numPr>
        <w:spacing w:line="360" w:lineRule="auto"/>
        <w:ind w:left="0" w:leftChars="0" w:firstLine="420" w:firstLineChars="200"/>
        <w:rPr>
          <w:rFonts w:hint="eastAsia" w:ascii="宋体" w:hAnsi="宋体" w:eastAsia="宋体" w:cs="Times New Roman"/>
          <w:color w:val="auto"/>
          <w:sz w:val="21"/>
          <w:szCs w:val="21"/>
          <w:highlight w:val="none"/>
          <w:lang w:val="en-US" w:eastAsia="zh-CN"/>
        </w:rPr>
      </w:pPr>
      <w:r>
        <w:rPr>
          <w:rFonts w:hint="default"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质量标准：</w:t>
      </w:r>
      <w:r>
        <w:rPr>
          <w:rFonts w:hint="eastAsia" w:ascii="宋体" w:hAnsi="宋体" w:eastAsia="宋体" w:cs="Times New Roman"/>
          <w:color w:val="auto"/>
          <w:sz w:val="21"/>
          <w:szCs w:val="21"/>
          <w:highlight w:val="none"/>
          <w:lang w:val="en-US" w:eastAsia="zh-CN"/>
        </w:rPr>
        <w:t>合格</w:t>
      </w:r>
    </w:p>
    <w:p w14:paraId="0C1BDA26">
      <w:pPr>
        <w:numPr>
          <w:ilvl w:val="2"/>
          <w:numId w:val="0"/>
        </w:numPr>
        <w:spacing w:line="360" w:lineRule="auto"/>
        <w:ind w:left="0" w:leftChars="0" w:firstLine="420" w:firstLineChars="200"/>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eastAsia="zh-CN"/>
        </w:rPr>
        <w:t>4.质量保证期：</w:t>
      </w:r>
      <w:r>
        <w:rPr>
          <w:rFonts w:hint="eastAsia" w:ascii="宋体" w:hAnsi="宋体" w:eastAsia="宋体" w:cs="Times New Roman"/>
          <w:color w:val="auto"/>
          <w:sz w:val="21"/>
          <w:szCs w:val="21"/>
          <w:highlight w:val="none"/>
          <w:lang w:val="en-US" w:eastAsia="zh-CN"/>
        </w:rPr>
        <w:t>设备类提供≥3年标准售后维保服务，服务类提供≥3年更新服务</w:t>
      </w:r>
    </w:p>
    <w:p w14:paraId="7A1B7BD1">
      <w:pPr>
        <w:numPr>
          <w:ilvl w:val="2"/>
          <w:numId w:val="0"/>
        </w:numPr>
        <w:spacing w:line="360" w:lineRule="auto"/>
        <w:ind w:left="0" w:leftChars="0" w:firstLine="420" w:firstLineChars="200"/>
        <w:rPr>
          <w:rFonts w:hint="default" w:ascii="宋体" w:hAnsi="宋体" w:eastAsia="宋体" w:cs="Times New Roman"/>
          <w:color w:val="auto"/>
          <w:sz w:val="21"/>
          <w:szCs w:val="21"/>
          <w:highlight w:val="yellow"/>
          <w:lang w:val="en-US" w:eastAsia="zh-CN"/>
        </w:rPr>
      </w:pPr>
      <w:r>
        <w:rPr>
          <w:rFonts w:hint="eastAsia" w:ascii="宋体" w:hAnsi="宋体" w:eastAsia="宋体" w:cs="Times New Roman"/>
          <w:color w:val="auto"/>
          <w:sz w:val="21"/>
          <w:szCs w:val="21"/>
          <w:highlight w:val="none"/>
          <w:lang w:val="en-US" w:eastAsia="zh-CN"/>
        </w:rPr>
        <w:t>5</w:t>
      </w:r>
      <w:r>
        <w:rPr>
          <w:rFonts w:hint="default"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rPr>
        <w:t>付款方式：</w:t>
      </w:r>
      <w:r>
        <w:rPr>
          <w:rFonts w:hint="eastAsia" w:ascii="宋体" w:hAnsi="宋体" w:eastAsia="宋体" w:cs="Times New Roman"/>
          <w:color w:val="auto"/>
          <w:sz w:val="21"/>
          <w:szCs w:val="21"/>
          <w:highlight w:val="none"/>
          <w:lang w:val="en-US" w:eastAsia="zh-CN"/>
        </w:rPr>
        <w:t>项目完工，产品到货和安装调试正常运行，并经甲方验收合格签署《验收合格单》后付总价的95%，剩余5%为质保金，一年后无质量问题后一次性支付。</w:t>
      </w:r>
    </w:p>
    <w:p w14:paraId="641738B6">
      <w:pPr>
        <w:pStyle w:val="5"/>
        <w:ind w:firstLine="422" w:firstLineChars="200"/>
        <w:rPr>
          <w:rFonts w:hint="eastAsia" w:ascii="宋体" w:hAnsi="宋体"/>
          <w:b/>
          <w:bCs/>
          <w:color w:val="auto"/>
          <w:kern w:val="0"/>
          <w:sz w:val="21"/>
          <w:szCs w:val="21"/>
          <w:highlight w:val="none"/>
          <w:lang w:eastAsia="zh-CN" w:bidi="ar"/>
        </w:rPr>
      </w:pPr>
      <w:r>
        <w:rPr>
          <w:rFonts w:hint="eastAsia" w:ascii="宋体" w:hAnsi="宋体"/>
          <w:b/>
          <w:bCs/>
          <w:color w:val="auto"/>
          <w:kern w:val="0"/>
          <w:sz w:val="21"/>
          <w:szCs w:val="21"/>
          <w:highlight w:val="none"/>
          <w:lang w:eastAsia="zh-CN" w:bidi="ar"/>
        </w:rPr>
        <w:t>三、其他要求：</w:t>
      </w:r>
    </w:p>
    <w:p w14:paraId="18253AF2">
      <w:pPr>
        <w:widowControl/>
        <w:numPr>
          <w:ilvl w:val="0"/>
          <w:numId w:val="0"/>
        </w:numPr>
        <w:adjustRightInd w:val="0"/>
        <w:spacing w:line="360" w:lineRule="auto"/>
        <w:ind w:leftChars="200"/>
        <w:jc w:val="left"/>
        <w:rPr>
          <w:rFonts w:hint="eastAsia" w:ascii="宋体" w:hAnsi="宋体" w:eastAsia="宋体" w:cs="Times New Roman"/>
          <w:color w:val="auto"/>
          <w:kern w:val="0"/>
          <w:sz w:val="21"/>
          <w:szCs w:val="21"/>
          <w:highlight w:val="none"/>
          <w:lang w:val="en-US" w:eastAsia="zh-CN"/>
        </w:rPr>
      </w:pPr>
      <w:r>
        <w:rPr>
          <w:rFonts w:hint="eastAsia" w:ascii="宋体" w:hAnsi="宋体" w:eastAsia="宋体" w:cs="Times New Roman"/>
          <w:color w:val="auto"/>
          <w:kern w:val="0"/>
          <w:sz w:val="21"/>
          <w:szCs w:val="21"/>
          <w:highlight w:val="none"/>
          <w:lang w:val="en-US" w:eastAsia="zh-CN"/>
        </w:rPr>
        <w:t>无</w:t>
      </w:r>
    </w:p>
    <w:p w14:paraId="2B7A4466">
      <w:pPr>
        <w:spacing w:line="360" w:lineRule="auto"/>
        <w:rPr>
          <w:rFonts w:hint="eastAsia" w:ascii="宋体" w:hAnsi="宋体" w:cs="宋体"/>
          <w:b/>
          <w:color w:val="auto"/>
          <w:sz w:val="21"/>
          <w:szCs w:val="21"/>
          <w:highlight w:val="none"/>
        </w:rPr>
      </w:pPr>
      <w:r>
        <w:rPr>
          <w:rFonts w:hint="eastAsia" w:ascii="宋体" w:hAnsi="宋体" w:cs="宋体"/>
          <w:b/>
          <w:color w:val="auto"/>
          <w:sz w:val="21"/>
          <w:szCs w:val="21"/>
          <w:highlight w:val="none"/>
          <w:lang w:eastAsia="zh-CN"/>
        </w:rPr>
        <w:t>四</w:t>
      </w:r>
      <w:r>
        <w:rPr>
          <w:rFonts w:hint="eastAsia" w:ascii="宋体" w:hAnsi="宋体" w:cs="宋体"/>
          <w:b/>
          <w:color w:val="auto"/>
          <w:sz w:val="21"/>
          <w:szCs w:val="21"/>
          <w:highlight w:val="none"/>
        </w:rPr>
        <w:t>、采购内容及技术要求</w:t>
      </w:r>
    </w:p>
    <w:p w14:paraId="7BB0CF0E">
      <w:pPr>
        <w:spacing w:line="440" w:lineRule="exact"/>
        <w:ind w:firstLine="420" w:firstLineChars="200"/>
        <w:rPr>
          <w:rFonts w:hint="eastAsia"/>
          <w:color w:val="auto"/>
          <w:sz w:val="21"/>
          <w:szCs w:val="21"/>
          <w:highlight w:val="none"/>
        </w:rPr>
      </w:pPr>
      <w:r>
        <w:rPr>
          <w:rFonts w:hint="eastAsia"/>
          <w:color w:val="auto"/>
          <w:sz w:val="21"/>
          <w:szCs w:val="21"/>
          <w:highlight w:val="none"/>
        </w:rPr>
        <w:t>本项目采购内容、数量及其有关技术要求如下：</w:t>
      </w:r>
      <w:bookmarkStart w:id="4" w:name="_GoBack"/>
      <w:bookmarkEnd w:id="4"/>
    </w:p>
    <w:p w14:paraId="696FA89D">
      <w:pPr>
        <w:spacing w:line="440" w:lineRule="exact"/>
        <w:ind w:firstLine="422" w:firstLineChars="200"/>
        <w:rPr>
          <w:rFonts w:hint="eastAsia"/>
          <w:b/>
          <w:bCs/>
          <w:color w:val="auto"/>
          <w:sz w:val="21"/>
          <w:szCs w:val="21"/>
          <w:highlight w:val="none"/>
        </w:rPr>
      </w:pPr>
      <w:r>
        <w:rPr>
          <w:rFonts w:hint="eastAsia"/>
          <w:b/>
          <w:bCs/>
          <w:color w:val="auto"/>
          <w:sz w:val="21"/>
          <w:szCs w:val="21"/>
          <w:highlight w:val="none"/>
        </w:rPr>
        <w:t>本采购项目的核心产品为：</w:t>
      </w:r>
      <w:r>
        <w:rPr>
          <w:rFonts w:hint="eastAsia"/>
          <w:b w:val="0"/>
          <w:bCs w:val="0"/>
          <w:color w:val="auto"/>
          <w:sz w:val="21"/>
          <w:szCs w:val="21"/>
          <w:highlight w:val="none"/>
          <w:u w:val="single"/>
        </w:rPr>
        <w:t xml:space="preserve">数据库审计  </w:t>
      </w:r>
      <w:r>
        <w:rPr>
          <w:rFonts w:hint="eastAsia"/>
          <w:b/>
          <w:bCs/>
          <w:color w:val="auto"/>
          <w:sz w:val="21"/>
          <w:szCs w:val="21"/>
          <w:highlight w:val="none"/>
          <w:u w:val="single"/>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496"/>
        <w:gridCol w:w="4329"/>
        <w:gridCol w:w="756"/>
        <w:gridCol w:w="945"/>
        <w:gridCol w:w="945"/>
      </w:tblGrid>
      <w:tr w14:paraId="2793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3270EA20">
            <w:pPr>
              <w:widowControl/>
              <w:spacing w:before="100" w:beforeLines="0" w:beforeAutospacing="1" w:after="100" w:afterLines="0" w:afterAutospacing="1"/>
              <w:jc w:val="center"/>
              <w:rPr>
                <w:bCs/>
                <w:color w:val="auto"/>
                <w:kern w:val="0"/>
                <w:sz w:val="28"/>
                <w:szCs w:val="28"/>
                <w:highlight w:val="none"/>
              </w:rPr>
            </w:pPr>
            <w:r>
              <w:rPr>
                <w:bCs/>
                <w:color w:val="auto"/>
                <w:kern w:val="0"/>
                <w:sz w:val="28"/>
                <w:szCs w:val="28"/>
                <w:highlight w:val="none"/>
              </w:rPr>
              <w:t>序号</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60F2D7E5">
            <w:pPr>
              <w:widowControl/>
              <w:spacing w:before="100" w:beforeLines="0" w:beforeAutospacing="1" w:after="100" w:afterLines="0" w:afterAutospacing="1"/>
              <w:jc w:val="center"/>
              <w:rPr>
                <w:rFonts w:hint="eastAsia"/>
                <w:color w:val="auto"/>
                <w:kern w:val="0"/>
                <w:sz w:val="28"/>
                <w:szCs w:val="28"/>
                <w:highlight w:val="none"/>
              </w:rPr>
            </w:pPr>
            <w:r>
              <w:rPr>
                <w:rFonts w:hint="eastAsia"/>
                <w:color w:val="auto"/>
                <w:kern w:val="0"/>
                <w:sz w:val="28"/>
                <w:szCs w:val="28"/>
                <w:highlight w:val="none"/>
                <w:lang w:eastAsia="zh-CN"/>
              </w:rPr>
              <w:t>标的</w:t>
            </w:r>
            <w:r>
              <w:rPr>
                <w:rFonts w:hint="eastAsia"/>
                <w:color w:val="auto"/>
                <w:kern w:val="0"/>
                <w:sz w:val="28"/>
                <w:szCs w:val="28"/>
                <w:highlight w:val="none"/>
              </w:rPr>
              <w:t>名称</w:t>
            </w:r>
          </w:p>
        </w:tc>
        <w:tc>
          <w:tcPr>
            <w:tcW w:w="4329" w:type="dxa"/>
            <w:tcBorders>
              <w:top w:val="single" w:color="auto" w:sz="4" w:space="0"/>
              <w:left w:val="single" w:color="auto" w:sz="4" w:space="0"/>
              <w:bottom w:val="single" w:color="auto" w:sz="4" w:space="0"/>
              <w:right w:val="single" w:color="auto" w:sz="4" w:space="0"/>
            </w:tcBorders>
            <w:noWrap w:val="0"/>
            <w:vAlign w:val="center"/>
          </w:tcPr>
          <w:p w14:paraId="4EC3284C">
            <w:pPr>
              <w:widowControl/>
              <w:spacing w:before="100" w:beforeLines="0" w:beforeAutospacing="1" w:after="100" w:afterLines="0" w:afterAutospacing="1"/>
              <w:jc w:val="center"/>
              <w:rPr>
                <w:rFonts w:hint="eastAsia"/>
                <w:bCs/>
                <w:color w:val="auto"/>
                <w:kern w:val="0"/>
                <w:sz w:val="28"/>
                <w:szCs w:val="28"/>
                <w:highlight w:val="none"/>
              </w:rPr>
            </w:pPr>
            <w:r>
              <w:rPr>
                <w:rFonts w:hint="eastAsia"/>
                <w:bCs/>
                <w:color w:val="auto"/>
                <w:kern w:val="0"/>
                <w:sz w:val="28"/>
                <w:szCs w:val="28"/>
                <w:highlight w:val="none"/>
              </w:rPr>
              <w:t>主要技术参数、性能、配置等要求</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21A74FB">
            <w:pPr>
              <w:widowControl/>
              <w:spacing w:line="460" w:lineRule="exact"/>
              <w:jc w:val="center"/>
              <w:rPr>
                <w:rFonts w:ascii="宋体" w:hAnsi="宋体"/>
                <w:bCs/>
                <w:color w:val="auto"/>
                <w:kern w:val="0"/>
                <w:sz w:val="28"/>
                <w:szCs w:val="28"/>
                <w:highlight w:val="none"/>
              </w:rPr>
            </w:pPr>
            <w:r>
              <w:rPr>
                <w:rFonts w:hint="eastAsia" w:ascii="宋体" w:hAnsi="宋体"/>
                <w:bCs/>
                <w:color w:val="auto"/>
                <w:kern w:val="0"/>
                <w:sz w:val="28"/>
                <w:szCs w:val="28"/>
                <w:highlight w:val="none"/>
              </w:rPr>
              <w:t>单位</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13ADF7CE">
            <w:pPr>
              <w:widowControl/>
              <w:spacing w:line="460" w:lineRule="exact"/>
              <w:jc w:val="center"/>
              <w:rPr>
                <w:rFonts w:hint="eastAsia" w:ascii="宋体" w:hAnsi="宋体"/>
                <w:bCs/>
                <w:color w:val="auto"/>
                <w:kern w:val="0"/>
                <w:sz w:val="28"/>
                <w:szCs w:val="28"/>
                <w:highlight w:val="none"/>
              </w:rPr>
            </w:pPr>
            <w:r>
              <w:rPr>
                <w:rFonts w:hint="eastAsia" w:ascii="宋体" w:hAnsi="宋体"/>
                <w:bCs/>
                <w:color w:val="auto"/>
                <w:kern w:val="0"/>
                <w:sz w:val="28"/>
                <w:szCs w:val="28"/>
                <w:highlight w:val="none"/>
              </w:rPr>
              <w:t>数量</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23DE471A">
            <w:pPr>
              <w:widowControl/>
              <w:spacing w:before="100" w:beforeLines="0" w:beforeAutospacing="1" w:after="100" w:afterLines="0" w:afterAutospacing="1"/>
              <w:jc w:val="center"/>
              <w:rPr>
                <w:rFonts w:hint="eastAsia" w:eastAsia="宋体"/>
                <w:bCs/>
                <w:color w:val="auto"/>
                <w:kern w:val="0"/>
                <w:sz w:val="28"/>
                <w:szCs w:val="28"/>
                <w:highlight w:val="none"/>
                <w:lang w:eastAsia="zh-CN"/>
              </w:rPr>
            </w:pPr>
            <w:r>
              <w:rPr>
                <w:rFonts w:hint="eastAsia"/>
                <w:bCs/>
                <w:color w:val="auto"/>
                <w:kern w:val="0"/>
                <w:sz w:val="28"/>
                <w:szCs w:val="28"/>
                <w:highlight w:val="none"/>
                <w:lang w:eastAsia="zh-CN"/>
              </w:rPr>
              <w:t>所属行业</w:t>
            </w:r>
          </w:p>
        </w:tc>
      </w:tr>
      <w:tr w14:paraId="6C5D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6"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12BC21E1">
            <w:pPr>
              <w:widowControl/>
              <w:jc w:val="center"/>
              <w:rPr>
                <w:rFonts w:eastAsia="仿宋_GB2312"/>
                <w:color w:val="auto"/>
                <w:kern w:val="0"/>
                <w:sz w:val="28"/>
                <w:szCs w:val="28"/>
                <w:highlight w:val="none"/>
              </w:rPr>
            </w:pPr>
            <w:r>
              <w:rPr>
                <w:rFonts w:hint="eastAsia" w:eastAsia="仿宋_GB2312"/>
                <w:color w:val="auto"/>
                <w:kern w:val="0"/>
                <w:sz w:val="28"/>
                <w:szCs w:val="28"/>
                <w:highlight w:val="none"/>
              </w:rPr>
              <w:t>1</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0E7EAD81">
            <w:pPr>
              <w:jc w:val="center"/>
              <w:rPr>
                <w:rFonts w:eastAsia="仿宋_GB2312"/>
                <w:color w:val="auto"/>
                <w:kern w:val="0"/>
                <w:sz w:val="24"/>
                <w:szCs w:val="21"/>
                <w:highlight w:val="none"/>
              </w:rPr>
            </w:pPr>
            <w:r>
              <w:rPr>
                <w:rFonts w:hint="eastAsia" w:ascii="宋体" w:hAnsi="宋体" w:eastAsia="宋体"/>
                <w:color w:val="auto"/>
              </w:rPr>
              <w:t>终端杀毒软件</w:t>
            </w:r>
          </w:p>
        </w:tc>
        <w:tc>
          <w:tcPr>
            <w:tcW w:w="4329" w:type="dxa"/>
            <w:tcBorders>
              <w:top w:val="single" w:color="auto" w:sz="4" w:space="0"/>
              <w:left w:val="single" w:color="auto" w:sz="4" w:space="0"/>
              <w:right w:val="single" w:color="auto" w:sz="4" w:space="0"/>
            </w:tcBorders>
            <w:noWrap w:val="0"/>
            <w:vAlign w:val="center"/>
          </w:tcPr>
          <w:p w14:paraId="75A6DA4E">
            <w:pPr>
              <w:rPr>
                <w:rFonts w:hint="eastAsia" w:ascii="宋体" w:hAnsi="宋体" w:eastAsia="宋体"/>
                <w:color w:val="auto"/>
              </w:rPr>
            </w:pPr>
            <w:r>
              <w:rPr>
                <w:rFonts w:ascii="宋体" w:hAnsi="宋体" w:eastAsia="宋体"/>
                <w:color w:val="auto"/>
              </w:rPr>
              <w:t>1、控制中心要求:管理中心操作系统支持Windows Server 2012 R2/2016/2019/2022的64位版本（简体中文版）；支持CentOS 7系统。</w:t>
            </w:r>
          </w:p>
          <w:p w14:paraId="4634031B">
            <w:pPr>
              <w:rPr>
                <w:rFonts w:hint="eastAsia" w:ascii="宋体" w:hAnsi="宋体" w:eastAsia="宋体"/>
                <w:color w:val="auto"/>
              </w:rPr>
            </w:pPr>
            <w:r>
              <w:rPr>
                <w:rFonts w:ascii="宋体" w:hAnsi="宋体" w:eastAsia="宋体"/>
                <w:color w:val="auto"/>
              </w:rPr>
              <w:t>2、客户端操作系统要求：支持Windows XP_SP3及以上/Windows Vista/Windows 7/Windows 8/Windows 10/windows 11；Windows Server 2008/Windows Server 2012/Windows Server 2016/Windows Server 2019；CentOS 5~8/Red Hat Enterprise Linux 5~8/Ubuntu1610。</w:t>
            </w:r>
          </w:p>
          <w:p w14:paraId="33ABA8EB">
            <w:pPr>
              <w:rPr>
                <w:rFonts w:hint="eastAsia" w:ascii="宋体" w:hAnsi="宋体" w:eastAsia="宋体"/>
                <w:b/>
                <w:bCs/>
                <w:color w:val="auto"/>
              </w:rPr>
            </w:pPr>
            <w:r>
              <w:rPr>
                <w:rFonts w:ascii="宋体" w:hAnsi="宋体" w:eastAsia="宋体"/>
                <w:color w:val="auto"/>
              </w:rPr>
              <w:t>3、管理控制中心当登录账号输入密码错误次数超过锁定阈值后账号将被锁定，且可设置锁定时间，该时间内账号登录请求不被接受。同时应支持双因子认证登录方式，提高安全性。</w:t>
            </w:r>
            <w:r>
              <w:rPr>
                <w:rFonts w:ascii="宋体" w:hAnsi="宋体" w:eastAsia="宋体"/>
                <w:b/>
                <w:bCs/>
                <w:color w:val="auto"/>
              </w:rPr>
              <w:t>（</w:t>
            </w:r>
            <w:r>
              <w:rPr>
                <w:rFonts w:hint="eastAsia" w:ascii="宋体" w:hAnsi="宋体" w:eastAsia="宋体"/>
                <w:b/>
                <w:bCs/>
                <w:color w:val="auto"/>
                <w:lang w:eastAsia="zh-CN"/>
              </w:rPr>
              <w:t>响应文件中</w:t>
            </w:r>
            <w:r>
              <w:rPr>
                <w:rFonts w:ascii="宋体" w:hAnsi="宋体" w:eastAsia="宋体"/>
                <w:b/>
                <w:bCs/>
                <w:color w:val="auto"/>
              </w:rPr>
              <w:t>需提供加盖制造商公章</w:t>
            </w:r>
            <w:r>
              <w:rPr>
                <w:rFonts w:hint="eastAsia" w:ascii="宋体" w:hAnsi="宋体" w:eastAsia="宋体"/>
                <w:b/>
                <w:bCs/>
                <w:color w:val="auto"/>
                <w:lang w:eastAsia="zh-CN"/>
              </w:rPr>
              <w:t>的</w:t>
            </w:r>
            <w:r>
              <w:rPr>
                <w:rFonts w:ascii="宋体" w:hAnsi="宋体" w:eastAsia="宋体"/>
                <w:b/>
                <w:bCs/>
                <w:color w:val="auto"/>
              </w:rPr>
              <w:t>能够体现上述功能的配置截图</w:t>
            </w:r>
            <w:r>
              <w:rPr>
                <w:rFonts w:hint="eastAsia" w:ascii="宋体" w:hAnsi="宋体" w:eastAsia="宋体"/>
                <w:b/>
                <w:bCs/>
                <w:color w:val="auto"/>
                <w:lang w:eastAsia="zh-CN"/>
              </w:rPr>
              <w:t>的</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w:t>
            </w:r>
            <w:r>
              <w:rPr>
                <w:rFonts w:ascii="宋体" w:hAnsi="宋体" w:eastAsia="宋体"/>
                <w:b/>
                <w:bCs/>
                <w:color w:val="auto"/>
              </w:rPr>
              <w:t>）</w:t>
            </w:r>
          </w:p>
          <w:p w14:paraId="31E3D18F">
            <w:pPr>
              <w:rPr>
                <w:rFonts w:hint="eastAsia" w:ascii="宋体" w:hAnsi="宋体" w:eastAsia="宋体"/>
                <w:color w:val="auto"/>
              </w:rPr>
            </w:pPr>
            <w:r>
              <w:rPr>
                <w:rFonts w:ascii="宋体" w:hAnsi="宋体" w:eastAsia="宋体"/>
                <w:color w:val="auto"/>
              </w:rPr>
              <w:t>4、支持单个页面展示在线终端数量、风险终端数量及占比、今日风险告警数、控制中心当前CPU、内存、硬盘使用百分比、终端在线率、终端正常率、终端平台统计、基线核查统计、病毒查杀趋势、感染病毒终端、漏洞补丁统计等信息，均可通过图形化展示。</w:t>
            </w:r>
          </w:p>
          <w:p w14:paraId="04B05D9B">
            <w:pPr>
              <w:rPr>
                <w:rFonts w:hint="eastAsia" w:ascii="宋体" w:hAnsi="宋体" w:eastAsia="宋体"/>
                <w:b/>
                <w:bCs/>
                <w:color w:val="auto"/>
              </w:rPr>
            </w:pPr>
            <w:r>
              <w:rPr>
                <w:rFonts w:ascii="宋体" w:hAnsi="宋体" w:eastAsia="宋体"/>
                <w:color w:val="auto"/>
              </w:rPr>
              <w:t>5、客户端弹窗支持免打扰模式和智能模式，使用免打扰模式可以对不能弹窗的终端设备中避免弹窗。使用智能模式是智能调整弹窗，对已知的病毒自动处理，对未知的病毒提示处理。</w:t>
            </w:r>
            <w:r>
              <w:rPr>
                <w:rFonts w:hint="eastAsia" w:ascii="宋体" w:hAnsi="宋体" w:eastAsia="宋体"/>
                <w:b/>
                <w:bCs/>
                <w:color w:val="auto"/>
              </w:rPr>
              <w:t>（响应文件中需提供加盖制造商公章的能够体现上述功能的配置截图的扫描件或复印件并）</w:t>
            </w:r>
          </w:p>
          <w:p w14:paraId="0CE864D2">
            <w:pPr>
              <w:rPr>
                <w:rFonts w:hint="eastAsia" w:ascii="宋体" w:hAnsi="宋体" w:eastAsia="宋体"/>
                <w:color w:val="auto"/>
              </w:rPr>
            </w:pPr>
            <w:r>
              <w:rPr>
                <w:rFonts w:ascii="宋体" w:hAnsi="宋体" w:eastAsia="宋体"/>
                <w:color w:val="auto"/>
              </w:rPr>
              <w:t>6、支持不同分组，客户端轻量化模式一键切换功能；</w:t>
            </w:r>
          </w:p>
          <w:p w14:paraId="07E7D3D2">
            <w:pPr>
              <w:rPr>
                <w:rFonts w:hint="eastAsia" w:ascii="宋体" w:hAnsi="宋体" w:eastAsia="宋体"/>
                <w:color w:val="auto"/>
              </w:rPr>
            </w:pPr>
            <w:r>
              <w:rPr>
                <w:rFonts w:ascii="宋体" w:hAnsi="宋体" w:eastAsia="宋体"/>
                <w:color w:val="auto"/>
              </w:rPr>
              <w:t>7、支持定时公告功能，可配置开机显示、周期显示和立即推送。</w:t>
            </w:r>
          </w:p>
          <w:p w14:paraId="52B25C59">
            <w:pPr>
              <w:rPr>
                <w:rFonts w:hint="eastAsia" w:ascii="宋体" w:hAnsi="宋体" w:eastAsia="宋体"/>
                <w:color w:val="auto"/>
              </w:rPr>
            </w:pPr>
            <w:r>
              <w:rPr>
                <w:rFonts w:ascii="宋体" w:hAnsi="宋体" w:eastAsia="宋体"/>
                <w:color w:val="auto"/>
              </w:rPr>
              <w:t>8、病毒扫描：支持对终端当扫描到感染型病毒、顽固木马时，自动进入深度查模式，可设置禁止终端用户管理路径或文件白名单、禁止终端用户管理扩展名白名单、扫描时不允许终端用户暂停或停止扫描任务。</w:t>
            </w:r>
          </w:p>
          <w:p w14:paraId="3892622A">
            <w:pPr>
              <w:rPr>
                <w:rFonts w:hint="eastAsia" w:ascii="宋体" w:hAnsi="宋体" w:eastAsia="宋体"/>
                <w:color w:val="auto"/>
              </w:rPr>
            </w:pPr>
            <w:r>
              <w:rPr>
                <w:rFonts w:ascii="宋体" w:hAnsi="宋体" w:eastAsia="宋体"/>
                <w:color w:val="auto"/>
              </w:rPr>
              <w:t>9、杀毒引擎：支持不少于三个杀毒引擎混合使用，提高病毒检出率。</w:t>
            </w:r>
          </w:p>
          <w:p w14:paraId="5AF99CCA">
            <w:pPr>
              <w:rPr>
                <w:rFonts w:hint="eastAsia" w:ascii="宋体" w:hAnsi="宋体" w:eastAsia="宋体"/>
                <w:b/>
                <w:bCs/>
                <w:color w:val="auto"/>
              </w:rPr>
            </w:pPr>
            <w:r>
              <w:rPr>
                <w:rFonts w:ascii="宋体" w:hAnsi="宋体" w:eastAsia="宋体"/>
                <w:color w:val="auto"/>
              </w:rPr>
              <w:t>10、补丁管理：支持开启自动修复漏洞，包括开机时修复，并支持随机延迟执行、间隔修复和按时间段修复，可设置延迟时间、间隔修复时间和修复时间段。</w:t>
            </w:r>
            <w:r>
              <w:rPr>
                <w:rFonts w:hint="eastAsia" w:ascii="宋体" w:hAnsi="宋体" w:eastAsia="宋体"/>
                <w:b/>
                <w:bCs/>
                <w:color w:val="auto"/>
              </w:rPr>
              <w:t>（响应文件中需提供加盖制造商公章的能够体现上述功能的配置截图的扫描件或复印件）</w:t>
            </w:r>
          </w:p>
          <w:p w14:paraId="6E594653">
            <w:pPr>
              <w:rPr>
                <w:rFonts w:hint="eastAsia" w:ascii="宋体" w:hAnsi="宋体" w:eastAsia="宋体"/>
                <w:color w:val="auto"/>
              </w:rPr>
            </w:pPr>
            <w:r>
              <w:rPr>
                <w:rFonts w:ascii="宋体" w:hAnsi="宋体" w:eastAsia="宋体"/>
                <w:color w:val="auto"/>
              </w:rPr>
              <w:t>11、主机防火墙 支持主机防火墙功能，通过添加IP、域名规则、支持允许/拒绝规则、支持任意流向拦截和允许，支持TCP、UDP、TCP+UDP、ICMP、多播和组播，支持自定义端口范围、支持自定义目标IP，支持输入IP范围。</w:t>
            </w:r>
          </w:p>
          <w:p w14:paraId="189ACD19">
            <w:pPr>
              <w:rPr>
                <w:rFonts w:hint="eastAsia" w:ascii="宋体" w:hAnsi="宋体" w:eastAsia="宋体"/>
                <w:color w:val="auto"/>
              </w:rPr>
            </w:pPr>
            <w:r>
              <w:rPr>
                <w:rFonts w:ascii="宋体" w:hAnsi="宋体" w:eastAsia="宋体"/>
                <w:color w:val="auto"/>
              </w:rPr>
              <w:t>12、终端管控：支持对外设进行多维度的放行，包括设备名称、PID/VID、实例路径，通过添加实现例外或加黑。。</w:t>
            </w:r>
          </w:p>
          <w:p w14:paraId="63CFF7A8">
            <w:pPr>
              <w:rPr>
                <w:rFonts w:hint="eastAsia" w:ascii="宋体" w:hAnsi="宋体" w:eastAsia="宋体"/>
                <w:color w:val="auto"/>
              </w:rPr>
            </w:pPr>
            <w:r>
              <w:rPr>
                <w:rFonts w:ascii="宋体" w:hAnsi="宋体" w:eastAsia="宋体"/>
                <w:color w:val="auto"/>
              </w:rPr>
              <w:t>13、主机防火墙 支持主机防火墙功能，通过添加IP、域名规则、支持允许/拒绝规则、支持任意流向拦截和允许，支持TCP、UDP、TCP+UDP、ICMP、多播和组播，支持自定义端口范围、支持自定义目标IP，支持输入IP范围。</w:t>
            </w:r>
          </w:p>
          <w:p w14:paraId="52A514DC">
            <w:pPr>
              <w:rPr>
                <w:rFonts w:eastAsia="仿宋_GB2312"/>
                <w:color w:val="auto"/>
                <w:kern w:val="0"/>
                <w:sz w:val="24"/>
                <w:szCs w:val="21"/>
                <w:highlight w:val="none"/>
              </w:rPr>
            </w:pPr>
            <w:r>
              <w:rPr>
                <w:rFonts w:ascii="宋体" w:hAnsi="宋体" w:eastAsia="宋体"/>
                <w:color w:val="auto"/>
              </w:rPr>
              <w:t>1</w:t>
            </w:r>
            <w:r>
              <w:rPr>
                <w:rFonts w:hint="eastAsia" w:ascii="宋体" w:hAnsi="宋体" w:eastAsia="宋体"/>
                <w:color w:val="auto"/>
                <w:lang w:val="en-US" w:eastAsia="zh-CN"/>
              </w:rPr>
              <w:t>4</w:t>
            </w:r>
            <w:r>
              <w:rPr>
                <w:rFonts w:ascii="宋体" w:hAnsi="宋体" w:eastAsia="宋体"/>
                <w:color w:val="auto"/>
              </w:rPr>
              <w:t>、配置要求 本次项目实际配置控制中心软件（Windows Server版）≥1套；Windows PC终端实配授权数量≥620</w:t>
            </w:r>
            <w:r>
              <w:rPr>
                <w:rFonts w:hint="eastAsia" w:ascii="宋体" w:hAnsi="宋体" w:eastAsia="宋体"/>
                <w:color w:val="auto"/>
              </w:rPr>
              <w:t>台</w:t>
            </w:r>
            <w:r>
              <w:rPr>
                <w:rFonts w:ascii="宋体" w:hAnsi="宋体" w:eastAsia="宋体"/>
                <w:color w:val="auto"/>
              </w:rPr>
              <w:t>，</w:t>
            </w:r>
            <w:r>
              <w:rPr>
                <w:rFonts w:hint="eastAsia" w:ascii="宋体" w:hAnsi="宋体" w:eastAsia="宋体"/>
                <w:color w:val="auto"/>
              </w:rPr>
              <w:t>含病毒防护（不含第三方扩展引擎）、补丁管理、主机防火墙、终端管控、移动存储管理、</w:t>
            </w:r>
            <w:r>
              <w:rPr>
                <w:rFonts w:ascii="宋体" w:hAnsi="宋体" w:eastAsia="宋体"/>
                <w:color w:val="auto"/>
              </w:rPr>
              <w:t>Windows XP/7 停服系统加固功能。服务器终端实配授权数量≥80</w:t>
            </w:r>
            <w:r>
              <w:rPr>
                <w:rFonts w:hint="eastAsia" w:ascii="宋体" w:hAnsi="宋体" w:eastAsia="宋体"/>
                <w:color w:val="auto"/>
              </w:rPr>
              <w:t>台</w:t>
            </w:r>
            <w:r>
              <w:rPr>
                <w:rFonts w:hint="eastAsia" w:ascii="宋体" w:hAnsi="宋体" w:eastAsia="宋体"/>
                <w:color w:val="auto"/>
                <w:lang w:eastAsia="zh-CN"/>
              </w:rPr>
              <w:t>（</w:t>
            </w:r>
            <w:r>
              <w:rPr>
                <w:rFonts w:hint="eastAsia" w:ascii="宋体" w:hAnsi="宋体" w:eastAsia="宋体"/>
                <w:color w:val="auto"/>
                <w:lang w:val="en-US" w:eastAsia="zh-CN"/>
              </w:rPr>
              <w:t>Linux</w:t>
            </w:r>
            <w:r>
              <w:rPr>
                <w:rFonts w:ascii="宋体" w:hAnsi="宋体" w:eastAsia="宋体"/>
                <w:color w:val="auto"/>
              </w:rPr>
              <w:t>≥</w:t>
            </w:r>
            <w:r>
              <w:rPr>
                <w:rFonts w:hint="eastAsia" w:ascii="宋体" w:hAnsi="宋体" w:eastAsia="宋体"/>
                <w:color w:val="auto"/>
                <w:lang w:val="en-US" w:eastAsia="zh-CN"/>
              </w:rPr>
              <w:t>25个</w:t>
            </w:r>
            <w:r>
              <w:rPr>
                <w:rFonts w:hint="eastAsia" w:ascii="宋体" w:hAnsi="宋体" w:eastAsia="宋体"/>
                <w:color w:val="auto"/>
                <w:lang w:eastAsia="zh-CN"/>
              </w:rPr>
              <w:t>）</w:t>
            </w:r>
            <w:r>
              <w:rPr>
                <w:rFonts w:ascii="宋体" w:hAnsi="宋体" w:eastAsia="宋体"/>
                <w:color w:val="auto"/>
              </w:rPr>
              <w:t>，包含防病毒功能。</w:t>
            </w:r>
          </w:p>
        </w:tc>
        <w:tc>
          <w:tcPr>
            <w:tcW w:w="756" w:type="dxa"/>
            <w:tcBorders>
              <w:top w:val="single" w:color="auto" w:sz="4" w:space="0"/>
              <w:left w:val="single" w:color="auto" w:sz="4" w:space="0"/>
              <w:right w:val="single" w:color="auto" w:sz="4" w:space="0"/>
            </w:tcBorders>
            <w:noWrap w:val="0"/>
            <w:vAlign w:val="center"/>
          </w:tcPr>
          <w:p w14:paraId="4C2ABCD0">
            <w:pPr>
              <w:widowControl/>
              <w:spacing w:before="100" w:beforeLines="0" w:beforeAutospacing="1" w:after="100" w:afterLines="0" w:afterAutospacing="1"/>
              <w:jc w:val="center"/>
              <w:rPr>
                <w:rFonts w:hint="eastAsia" w:ascii="宋体" w:hAnsi="宋体" w:eastAsia="宋体" w:cs="宋体"/>
                <w:bCs/>
                <w:color w:val="auto"/>
                <w:kern w:val="0"/>
                <w:sz w:val="24"/>
                <w:szCs w:val="21"/>
                <w:highlight w:val="none"/>
                <w:lang w:eastAsia="zh-CN"/>
              </w:rPr>
            </w:pPr>
            <w:r>
              <w:rPr>
                <w:rFonts w:hint="eastAsia" w:ascii="宋体" w:hAnsi="宋体" w:eastAsia="宋体" w:cs="宋体"/>
                <w:b/>
                <w:bCs/>
                <w:color w:val="auto"/>
                <w:kern w:val="0"/>
                <w:sz w:val="21"/>
                <w:szCs w:val="21"/>
                <w:highlight w:val="none"/>
                <w:lang w:val="en-US" w:eastAsia="zh-CN"/>
              </w:rPr>
              <w:t>套</w:t>
            </w:r>
          </w:p>
        </w:tc>
        <w:tc>
          <w:tcPr>
            <w:tcW w:w="945" w:type="dxa"/>
            <w:tcBorders>
              <w:top w:val="single" w:color="auto" w:sz="4" w:space="0"/>
              <w:left w:val="single" w:color="auto" w:sz="4" w:space="0"/>
              <w:right w:val="single" w:color="auto" w:sz="4" w:space="0"/>
            </w:tcBorders>
            <w:noWrap w:val="0"/>
            <w:vAlign w:val="center"/>
          </w:tcPr>
          <w:p w14:paraId="3CFC2D60">
            <w:pPr>
              <w:widowControl/>
              <w:spacing w:before="100" w:beforeLines="0" w:beforeAutospacing="1" w:after="100" w:afterLines="0" w:afterAutospacing="1"/>
              <w:jc w:val="center"/>
              <w:rPr>
                <w:rFonts w:hint="eastAsia" w:ascii="宋体" w:hAnsi="宋体" w:eastAsia="宋体" w:cs="宋体"/>
                <w:bCs/>
                <w:color w:val="auto"/>
                <w:kern w:val="0"/>
                <w:sz w:val="24"/>
                <w:szCs w:val="21"/>
                <w:highlight w:val="none"/>
                <w:lang w:val="en-US" w:eastAsia="zh-CN"/>
              </w:rPr>
            </w:pPr>
            <w:r>
              <w:rPr>
                <w:rFonts w:hint="eastAsia" w:ascii="宋体" w:hAnsi="宋体" w:cs="宋体"/>
                <w:bCs/>
                <w:color w:val="auto"/>
                <w:kern w:val="0"/>
                <w:sz w:val="24"/>
                <w:szCs w:val="21"/>
                <w:highlight w:val="none"/>
                <w:lang w:val="en-US" w:eastAsia="zh-CN"/>
              </w:rPr>
              <w:t>1</w:t>
            </w:r>
          </w:p>
        </w:tc>
        <w:tc>
          <w:tcPr>
            <w:tcW w:w="945" w:type="dxa"/>
            <w:tcBorders>
              <w:top w:val="single" w:color="auto" w:sz="4" w:space="0"/>
              <w:left w:val="single" w:color="auto" w:sz="4" w:space="0"/>
              <w:right w:val="single" w:color="auto" w:sz="4" w:space="0"/>
            </w:tcBorders>
            <w:noWrap w:val="0"/>
            <w:vAlign w:val="center"/>
          </w:tcPr>
          <w:p w14:paraId="37D73100">
            <w:pPr>
              <w:widowControl/>
              <w:spacing w:before="100" w:beforeLines="0" w:beforeAutospacing="1" w:after="100" w:afterLines="0" w:afterAutospacing="1"/>
              <w:jc w:val="center"/>
              <w:rPr>
                <w:rFonts w:hint="default" w:ascii="宋体" w:hAnsi="宋体" w:eastAsia="宋体" w:cs="宋体"/>
                <w:bCs/>
                <w:color w:val="auto"/>
                <w:kern w:val="0"/>
                <w:sz w:val="24"/>
                <w:szCs w:val="21"/>
                <w:highlight w:val="none"/>
                <w:lang w:val="en-US" w:eastAsia="zh-CN"/>
              </w:rPr>
            </w:pPr>
            <w:r>
              <w:rPr>
                <w:rFonts w:hint="eastAsia" w:ascii="宋体" w:hAnsi="宋体" w:cs="宋体"/>
                <w:bCs/>
                <w:color w:val="auto"/>
                <w:kern w:val="0"/>
                <w:sz w:val="24"/>
                <w:szCs w:val="21"/>
                <w:highlight w:val="none"/>
                <w:lang w:val="en-US" w:eastAsia="zh-CN"/>
              </w:rPr>
              <w:t>软件和信息技术服务业</w:t>
            </w:r>
          </w:p>
        </w:tc>
      </w:tr>
      <w:tr w14:paraId="25B4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6BC0D0BE">
            <w:pPr>
              <w:widowControl/>
              <w:jc w:val="center"/>
              <w:rPr>
                <w:rFonts w:hint="eastAsia" w:eastAsia="仿宋_GB2312"/>
                <w:color w:val="auto"/>
                <w:kern w:val="0"/>
                <w:sz w:val="28"/>
                <w:szCs w:val="28"/>
                <w:highlight w:val="none"/>
              </w:rPr>
            </w:pPr>
            <w:r>
              <w:rPr>
                <w:rFonts w:hint="eastAsia" w:eastAsia="仿宋_GB2312"/>
                <w:color w:val="auto"/>
                <w:kern w:val="0"/>
                <w:sz w:val="28"/>
                <w:szCs w:val="28"/>
                <w:highlight w:val="none"/>
              </w:rPr>
              <w:t>2</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580303EE">
            <w:pPr>
              <w:jc w:val="center"/>
              <w:rPr>
                <w:rFonts w:hint="default" w:ascii="仿宋_GB2312" w:hAnsi="仿宋_GB2312" w:eastAsia="仿宋_GB2312" w:cs="仿宋_GB2312"/>
                <w:color w:val="auto"/>
                <w:kern w:val="0"/>
                <w:sz w:val="24"/>
                <w:szCs w:val="21"/>
                <w:highlight w:val="none"/>
                <w:lang w:val="en-US" w:eastAsia="zh-CN"/>
              </w:rPr>
            </w:pPr>
            <w:r>
              <w:rPr>
                <w:rFonts w:hint="eastAsia" w:ascii="宋体" w:hAnsi="宋体" w:eastAsia="宋体"/>
                <w:color w:val="auto"/>
              </w:rPr>
              <w:t>堡垒机</w:t>
            </w:r>
          </w:p>
        </w:tc>
        <w:tc>
          <w:tcPr>
            <w:tcW w:w="4329" w:type="dxa"/>
            <w:tcBorders>
              <w:top w:val="single" w:color="auto" w:sz="4" w:space="0"/>
              <w:left w:val="single" w:color="auto" w:sz="4" w:space="0"/>
              <w:bottom w:val="single" w:color="auto" w:sz="4" w:space="0"/>
              <w:right w:val="single" w:color="auto" w:sz="4" w:space="0"/>
            </w:tcBorders>
            <w:noWrap w:val="0"/>
            <w:vAlign w:val="center"/>
          </w:tcPr>
          <w:p w14:paraId="72661DB1">
            <w:pPr>
              <w:numPr>
                <w:ilvl w:val="0"/>
                <w:numId w:val="2"/>
              </w:numPr>
              <w:rPr>
                <w:rFonts w:ascii="宋体" w:hAnsi="宋体" w:eastAsia="宋体"/>
                <w:color w:val="auto"/>
              </w:rPr>
            </w:pPr>
            <w:r>
              <w:rPr>
                <w:rFonts w:ascii="宋体" w:hAnsi="宋体" w:eastAsia="宋体"/>
                <w:color w:val="auto"/>
              </w:rPr>
              <w:t>硬件要求：硬件尺寸1U机架式设备，</w:t>
            </w:r>
            <w:r>
              <w:rPr>
                <w:rFonts w:hint="eastAsia" w:ascii="宋体" w:hAnsi="宋体" w:eastAsia="宋体"/>
                <w:color w:val="auto"/>
              </w:rPr>
              <w:t>标品</w:t>
            </w:r>
            <w:r>
              <w:rPr>
                <w:rFonts w:ascii="宋体" w:hAnsi="宋体" w:eastAsia="宋体"/>
                <w:color w:val="auto"/>
              </w:rPr>
              <w:t>≥6个千兆电口，≥2个万兆光口</w:t>
            </w:r>
            <w:r>
              <w:rPr>
                <w:rFonts w:hint="eastAsia" w:ascii="宋体" w:hAnsi="宋体" w:eastAsia="宋体"/>
                <w:color w:val="auto"/>
              </w:rPr>
              <w:t>，</w:t>
            </w:r>
            <w:r>
              <w:rPr>
                <w:rFonts w:ascii="宋体" w:hAnsi="宋体" w:eastAsia="宋体"/>
                <w:color w:val="auto"/>
              </w:rPr>
              <w:t>支持≥2个扩展板卡插槽，硬盘容量≥4 T；内USB口≥2个，支持液晶屏，单电源；</w:t>
            </w:r>
          </w:p>
          <w:p w14:paraId="6A0318E0">
            <w:pPr>
              <w:numPr>
                <w:ilvl w:val="0"/>
                <w:numId w:val="0"/>
              </w:numPr>
              <w:rPr>
                <w:rFonts w:hint="eastAsia" w:ascii="宋体" w:hAnsi="宋体" w:eastAsia="宋体"/>
                <w:color w:val="auto"/>
              </w:rPr>
            </w:pPr>
            <w:r>
              <w:rPr>
                <w:rFonts w:ascii="宋体" w:hAnsi="宋体" w:eastAsia="宋体"/>
                <w:color w:val="auto"/>
              </w:rPr>
              <w:t>2、管理授权：最大支持≥100路图形会话或≥500路字符会话并发；本次实配</w:t>
            </w:r>
            <w:r>
              <w:rPr>
                <w:rFonts w:hint="eastAsia" w:ascii="宋体" w:hAnsi="宋体" w:eastAsia="宋体"/>
                <w:color w:val="auto"/>
              </w:rPr>
              <w:t>运维</w:t>
            </w:r>
            <w:r>
              <w:rPr>
                <w:rFonts w:ascii="宋体" w:hAnsi="宋体" w:eastAsia="宋体"/>
                <w:color w:val="auto"/>
              </w:rPr>
              <w:t>授权≥100个。</w:t>
            </w:r>
          </w:p>
          <w:p w14:paraId="0B0C53F6">
            <w:pPr>
              <w:rPr>
                <w:rFonts w:hint="eastAsia" w:ascii="宋体" w:hAnsi="宋体" w:eastAsia="宋体"/>
                <w:color w:val="auto"/>
              </w:rPr>
            </w:pPr>
            <w:r>
              <w:rPr>
                <w:rFonts w:ascii="宋体" w:hAnsi="宋体" w:eastAsia="宋体"/>
                <w:color w:val="auto"/>
              </w:rPr>
              <w:t>3、部署要求：设备采用旁路部署，不得影响业务环境，支持HA双机部署，支持集群部署，支持跨地域、跨数据中心分级部署，支持异地灾备部署。</w:t>
            </w:r>
          </w:p>
          <w:p w14:paraId="6FB10CD0">
            <w:pPr>
              <w:rPr>
                <w:rFonts w:hint="eastAsia" w:ascii="宋体" w:hAnsi="宋体" w:eastAsia="宋体"/>
                <w:b/>
                <w:bCs/>
                <w:color w:val="auto"/>
              </w:rPr>
            </w:pPr>
            <w:r>
              <w:rPr>
                <w:rFonts w:ascii="宋体" w:hAnsi="宋体" w:eastAsia="宋体"/>
                <w:color w:val="auto"/>
              </w:rPr>
              <w:t>4、多因子认证：支持多因子认证，方式包括手机令牌、手机短信、动态令牌、国密USBKey、指纹识别等多因子认证方式。</w:t>
            </w:r>
            <w:r>
              <w:rPr>
                <w:rFonts w:hint="eastAsia" w:ascii="宋体" w:hAnsi="宋体" w:eastAsia="宋体"/>
                <w:b/>
                <w:bCs/>
                <w:color w:val="auto"/>
              </w:rPr>
              <w:t>（响应文件中需提供加盖制造商公章的能够体现上述功能的配置截图的扫描件或复印件）</w:t>
            </w:r>
          </w:p>
          <w:p w14:paraId="026A68B1">
            <w:pPr>
              <w:rPr>
                <w:rFonts w:hint="eastAsia" w:ascii="宋体" w:hAnsi="宋体" w:eastAsia="宋体"/>
                <w:color w:val="auto"/>
              </w:rPr>
            </w:pPr>
            <w:r>
              <w:rPr>
                <w:rFonts w:ascii="宋体" w:hAnsi="宋体" w:eastAsia="宋体"/>
                <w:color w:val="auto"/>
              </w:rPr>
              <w:t>5、第三方对接认证：支持RADIUS、AD域、LDAP、OIDC、CAS等认证类型。</w:t>
            </w:r>
          </w:p>
          <w:p w14:paraId="16BE4E5D">
            <w:pPr>
              <w:rPr>
                <w:rFonts w:hint="eastAsia" w:ascii="宋体" w:hAnsi="宋体" w:eastAsia="宋体"/>
                <w:color w:val="auto"/>
              </w:rPr>
            </w:pPr>
            <w:r>
              <w:rPr>
                <w:rFonts w:ascii="宋体" w:hAnsi="宋体" w:eastAsia="宋体"/>
                <w:color w:val="auto"/>
              </w:rPr>
              <w:t>6、登陆限制：支持用户的登录时间、来源IP地址和来源MAC地址限制（黑名单和白名单），限制非法时间和非法地址登录堡垒机。</w:t>
            </w:r>
          </w:p>
          <w:p w14:paraId="5748D19D">
            <w:pPr>
              <w:rPr>
                <w:rFonts w:hint="eastAsia" w:ascii="宋体" w:hAnsi="宋体" w:eastAsia="宋体"/>
                <w:color w:val="auto"/>
              </w:rPr>
            </w:pPr>
            <w:r>
              <w:rPr>
                <w:rFonts w:ascii="宋体" w:hAnsi="宋体" w:eastAsia="宋体"/>
                <w:color w:val="auto"/>
              </w:rPr>
              <w:t>7、批量管理：支持用户信息的批量修改，包括重置密码、移动部门、更改角色、删除网盘数据、解除手机令牌、修改多因子配置、修改有效期、修改登录时间段限制、修改IP限制、修改MAC限制。</w:t>
            </w:r>
          </w:p>
          <w:p w14:paraId="31F393F0">
            <w:pPr>
              <w:rPr>
                <w:rFonts w:hint="eastAsia" w:ascii="宋体" w:hAnsi="宋体" w:eastAsia="宋体"/>
                <w:color w:val="auto"/>
              </w:rPr>
            </w:pPr>
            <w:r>
              <w:rPr>
                <w:rFonts w:ascii="宋体" w:hAnsi="宋体" w:eastAsia="宋体"/>
                <w:color w:val="auto"/>
              </w:rPr>
              <w:t>8、运维协议：支持的运维协议包含SSH、RDP、VNC、Telnet、FTP、SCP、SFTP、DB2、MySQL、Oracle、SQL Server、PostgreSQL、Rlogin、DM、Redis等。</w:t>
            </w:r>
          </w:p>
          <w:p w14:paraId="755D1EAE">
            <w:pPr>
              <w:rPr>
                <w:rFonts w:hint="eastAsia" w:ascii="宋体" w:hAnsi="宋体" w:eastAsia="宋体"/>
                <w:color w:val="auto"/>
              </w:rPr>
            </w:pPr>
            <w:r>
              <w:rPr>
                <w:rFonts w:ascii="宋体" w:hAnsi="宋体" w:eastAsia="宋体"/>
                <w:color w:val="auto"/>
              </w:rPr>
              <w:t>9、自动发布代填：支持通过应用发布脚本代填提供广泛的应用接入支持，无论被接入的应用资源如何设计登录动作，通过应用发布脚本代填功能都可以实现单点登陆。</w:t>
            </w:r>
          </w:p>
          <w:p w14:paraId="5461200D">
            <w:pPr>
              <w:rPr>
                <w:rFonts w:hint="eastAsia" w:ascii="宋体" w:hAnsi="宋体" w:eastAsia="宋体"/>
                <w:color w:val="auto"/>
              </w:rPr>
            </w:pPr>
            <w:r>
              <w:rPr>
                <w:rFonts w:ascii="宋体" w:hAnsi="宋体" w:eastAsia="宋体"/>
                <w:color w:val="auto"/>
              </w:rPr>
              <w:t>10、云主机管理：支持云主机资源批量导入，包括阿里云、百度云、华为云、腾讯云、Ucloud、AWS、Azure云平台的资源，支持设置优先导入公网和内网IP设置，支持导入同时批量新建标签。</w:t>
            </w:r>
            <w:r>
              <w:rPr>
                <w:rFonts w:hint="eastAsia" w:ascii="宋体" w:hAnsi="宋体" w:eastAsia="宋体"/>
                <w:b/>
                <w:bCs/>
                <w:color w:val="auto"/>
              </w:rPr>
              <w:t>（响应文件中需提供加盖制造商公章的能够体现上述功能的配置截图的扫描件或复印件）</w:t>
            </w:r>
          </w:p>
          <w:p w14:paraId="49A21047">
            <w:pPr>
              <w:rPr>
                <w:rFonts w:hint="eastAsia" w:ascii="宋体" w:hAnsi="宋体" w:eastAsia="宋体"/>
                <w:color w:val="auto"/>
              </w:rPr>
            </w:pPr>
            <w:r>
              <w:rPr>
                <w:rFonts w:ascii="宋体" w:hAnsi="宋体" w:eastAsia="宋体"/>
                <w:color w:val="auto"/>
              </w:rPr>
              <w:t>11、双人授权：针对核心设备可配置双人授权，需要管理员现场审批才能访问资源。</w:t>
            </w:r>
          </w:p>
          <w:p w14:paraId="1F0E9B43">
            <w:pPr>
              <w:rPr>
                <w:rFonts w:hint="eastAsia" w:ascii="宋体" w:hAnsi="宋体" w:eastAsia="宋体"/>
                <w:color w:val="auto"/>
              </w:rPr>
            </w:pPr>
            <w:r>
              <w:rPr>
                <w:rFonts w:ascii="宋体" w:hAnsi="宋体" w:eastAsia="宋体"/>
                <w:color w:val="auto"/>
              </w:rPr>
              <w:t>12、数据库控制：支持对数据库协议访问操作进行控制，可基于库、表、命令实现对数据库操作的细粒度访问控制，执行动作包括但不限于断开连接、拒绝执行、动态授权、允许执行。</w:t>
            </w:r>
            <w:r>
              <w:rPr>
                <w:rFonts w:hint="eastAsia" w:ascii="宋体" w:hAnsi="宋体" w:eastAsia="宋体"/>
                <w:b/>
                <w:bCs/>
                <w:color w:val="auto"/>
              </w:rPr>
              <w:t>（响应文件中需提供加盖制造商公章的能够体现上述功能的配置截图的扫描件或复印件）</w:t>
            </w:r>
          </w:p>
          <w:p w14:paraId="6352DC6B">
            <w:pPr>
              <w:rPr>
                <w:rFonts w:eastAsia="仿宋_GB2312"/>
                <w:color w:val="auto"/>
                <w:kern w:val="0"/>
                <w:sz w:val="24"/>
                <w:szCs w:val="21"/>
                <w:highlight w:val="none"/>
              </w:rPr>
            </w:pPr>
            <w:r>
              <w:rPr>
                <w:rFonts w:ascii="宋体" w:hAnsi="宋体" w:eastAsia="宋体"/>
                <w:color w:val="auto"/>
              </w:rPr>
              <w:t>13、自动改密：支持以部门、资源账户、账户组、时间、改密周期、改密方式生成详细的改密计划，到期自动执行。</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185C56B0">
            <w:pPr>
              <w:widowControl/>
              <w:spacing w:before="100" w:beforeLines="0" w:beforeAutospacing="1" w:after="100" w:afterLines="0" w:afterAutospacing="1"/>
              <w:jc w:val="center"/>
              <w:rPr>
                <w:rFonts w:hint="eastAsia" w:ascii="宋体" w:hAnsi="宋体" w:eastAsia="宋体" w:cs="宋体"/>
                <w:bCs/>
                <w:color w:val="auto"/>
                <w:kern w:val="0"/>
                <w:sz w:val="24"/>
                <w:szCs w:val="21"/>
                <w:highlight w:val="none"/>
                <w:lang w:eastAsia="zh-CN"/>
              </w:rPr>
            </w:pPr>
            <w:r>
              <w:rPr>
                <w:rFonts w:hint="eastAsia" w:ascii="宋体" w:hAnsi="宋体" w:eastAsia="宋体" w:cs="宋体"/>
                <w:b/>
                <w:bCs/>
                <w:color w:val="auto"/>
                <w:kern w:val="0"/>
                <w:sz w:val="21"/>
                <w:szCs w:val="21"/>
                <w:highlight w:val="none"/>
                <w:lang w:eastAsia="zh-CN"/>
              </w:rPr>
              <w:t>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7C631B4">
            <w:pPr>
              <w:widowControl/>
              <w:spacing w:before="100" w:beforeLines="0" w:beforeAutospacing="1" w:after="100" w:afterLines="0" w:afterAutospacing="1"/>
              <w:jc w:val="center"/>
              <w:rPr>
                <w:rFonts w:hint="eastAsia" w:ascii="宋体" w:hAnsi="宋体" w:eastAsia="宋体" w:cs="宋体"/>
                <w:bCs/>
                <w:color w:val="auto"/>
                <w:kern w:val="0"/>
                <w:sz w:val="24"/>
                <w:szCs w:val="21"/>
                <w:highlight w:val="none"/>
                <w:lang w:eastAsia="zh-CN"/>
              </w:rPr>
            </w:pPr>
            <w:r>
              <w:rPr>
                <w:rFonts w:hint="eastAsia" w:ascii="宋体" w:hAnsi="宋体" w:cs="宋体"/>
                <w:bCs/>
                <w:color w:val="auto"/>
                <w:kern w:val="0"/>
                <w:sz w:val="24"/>
                <w:szCs w:val="21"/>
                <w:highlight w:val="none"/>
                <w:lang w:val="en-US" w:eastAsia="zh-CN"/>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7BF81BC">
            <w:pPr>
              <w:widowControl/>
              <w:spacing w:before="100" w:beforeLines="0" w:beforeAutospacing="1" w:after="100" w:afterLines="0" w:afterAutospacing="1"/>
              <w:jc w:val="center"/>
              <w:rPr>
                <w:rFonts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软件和信息技术服务业</w:t>
            </w:r>
          </w:p>
        </w:tc>
      </w:tr>
      <w:tr w14:paraId="1F6A4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5DAB055">
            <w:pPr>
              <w:widowControl/>
              <w:jc w:val="center"/>
              <w:rPr>
                <w:rFonts w:hint="eastAsia" w:eastAsia="仿宋_GB2312"/>
                <w:color w:val="auto"/>
                <w:kern w:val="0"/>
                <w:sz w:val="28"/>
                <w:szCs w:val="28"/>
                <w:highlight w:val="none"/>
                <w:lang w:val="en-US" w:eastAsia="zh-CN"/>
              </w:rPr>
            </w:pPr>
            <w:r>
              <w:rPr>
                <w:rFonts w:hint="eastAsia" w:eastAsia="仿宋_GB2312"/>
                <w:color w:val="auto"/>
                <w:kern w:val="0"/>
                <w:sz w:val="28"/>
                <w:szCs w:val="28"/>
                <w:highlight w:val="none"/>
                <w:lang w:val="en-US" w:eastAsia="zh-CN"/>
              </w:rPr>
              <w:t>3</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6221F761">
            <w:pPr>
              <w:jc w:val="center"/>
              <w:rPr>
                <w:rFonts w:hint="default" w:ascii="仿宋_GB2312" w:hAnsi="仿宋_GB2312" w:eastAsia="仿宋_GB2312" w:cs="仿宋_GB2312"/>
                <w:color w:val="auto"/>
                <w:kern w:val="0"/>
                <w:sz w:val="24"/>
                <w:szCs w:val="21"/>
                <w:highlight w:val="none"/>
                <w:lang w:val="en-US" w:eastAsia="zh-CN"/>
              </w:rPr>
            </w:pPr>
            <w:r>
              <w:rPr>
                <w:rFonts w:hint="eastAsia" w:ascii="宋体" w:hAnsi="宋体" w:eastAsia="宋体"/>
                <w:color w:val="auto"/>
              </w:rPr>
              <w:t>网络安全准入</w:t>
            </w:r>
          </w:p>
        </w:tc>
        <w:tc>
          <w:tcPr>
            <w:tcW w:w="4329" w:type="dxa"/>
            <w:tcBorders>
              <w:top w:val="single" w:color="auto" w:sz="4" w:space="0"/>
              <w:left w:val="single" w:color="auto" w:sz="4" w:space="0"/>
              <w:bottom w:val="single" w:color="auto" w:sz="4" w:space="0"/>
              <w:right w:val="single" w:color="auto" w:sz="4" w:space="0"/>
            </w:tcBorders>
            <w:noWrap w:val="0"/>
            <w:vAlign w:val="center"/>
          </w:tcPr>
          <w:p w14:paraId="5388D83D">
            <w:pPr>
              <w:rPr>
                <w:rFonts w:hint="eastAsia" w:ascii="宋体" w:hAnsi="宋体" w:eastAsia="宋体"/>
                <w:color w:val="auto"/>
                <w:lang w:eastAsia="zh-CN"/>
              </w:rPr>
            </w:pPr>
            <w:r>
              <w:rPr>
                <w:rFonts w:ascii="宋体" w:hAnsi="宋体" w:eastAsia="宋体"/>
                <w:color w:val="auto"/>
              </w:rPr>
              <w:t>1、硬件规格要求 1U机架式设备，标准配置板载≥6个10/100/1000M自适应电接口，≥2个扩展槽，≥4 TB 硬盘。</w:t>
            </w:r>
            <w:r>
              <w:rPr>
                <w:rFonts w:hint="eastAsia" w:ascii="宋体" w:hAnsi="宋体" w:eastAsia="宋体"/>
                <w:color w:val="auto"/>
                <w:lang w:eastAsia="zh-CN"/>
              </w:rPr>
              <w:t xml:space="preserve"> </w:t>
            </w:r>
          </w:p>
          <w:p w14:paraId="587FBE03">
            <w:pPr>
              <w:rPr>
                <w:rFonts w:hint="eastAsia" w:ascii="宋体" w:hAnsi="宋体" w:eastAsia="宋体"/>
                <w:color w:val="auto"/>
              </w:rPr>
            </w:pPr>
            <w:r>
              <w:rPr>
                <w:rFonts w:ascii="宋体" w:hAnsi="宋体" w:eastAsia="宋体"/>
                <w:color w:val="auto"/>
              </w:rPr>
              <w:t>2、设备性能要求 网络流量处理能力≥1</w:t>
            </w:r>
            <w:r>
              <w:rPr>
                <w:rFonts w:hint="eastAsia" w:ascii="宋体" w:hAnsi="宋体" w:eastAsia="宋体"/>
                <w:color w:val="auto"/>
              </w:rPr>
              <w:t>G</w:t>
            </w:r>
            <w:r>
              <w:rPr>
                <w:rFonts w:ascii="宋体" w:hAnsi="宋体" w:eastAsia="宋体"/>
                <w:color w:val="auto"/>
              </w:rPr>
              <w:t>bps，</w:t>
            </w:r>
            <w:r>
              <w:rPr>
                <w:rFonts w:hint="eastAsia" w:ascii="宋体" w:hAnsi="宋体" w:eastAsia="宋体"/>
                <w:color w:val="auto"/>
              </w:rPr>
              <w:t>支持</w:t>
            </w:r>
            <w:r>
              <w:rPr>
                <w:rFonts w:ascii="宋体" w:hAnsi="宋体" w:eastAsia="宋体"/>
                <w:color w:val="auto"/>
              </w:rPr>
              <w:t>≥1000终端认证</w:t>
            </w:r>
            <w:r>
              <w:rPr>
                <w:rFonts w:hint="eastAsia" w:ascii="宋体" w:hAnsi="宋体" w:eastAsia="宋体"/>
                <w:color w:val="auto"/>
              </w:rPr>
              <w:t>。</w:t>
            </w:r>
            <w:r>
              <w:rPr>
                <w:rFonts w:ascii="宋体" w:hAnsi="宋体" w:eastAsia="宋体"/>
                <w:color w:val="auto"/>
              </w:rPr>
              <w:t>本次实配≥1000点准入授权。</w:t>
            </w:r>
          </w:p>
          <w:p w14:paraId="142D236F">
            <w:pPr>
              <w:rPr>
                <w:rFonts w:hint="eastAsia" w:ascii="宋体" w:hAnsi="宋体" w:eastAsia="宋体"/>
                <w:color w:val="auto"/>
              </w:rPr>
            </w:pPr>
            <w:r>
              <w:rPr>
                <w:rFonts w:ascii="宋体" w:hAnsi="宋体" w:eastAsia="宋体"/>
                <w:color w:val="auto"/>
              </w:rPr>
              <w:t>3、系统控制中心采用B/S架构，支持管理员分区分权管理模式，灵活配置管理权限，适应大型分级管理组织架构。</w:t>
            </w:r>
          </w:p>
          <w:p w14:paraId="79B7772A">
            <w:pPr>
              <w:rPr>
                <w:rFonts w:hint="eastAsia" w:ascii="宋体" w:hAnsi="宋体" w:eastAsia="宋体"/>
                <w:color w:val="auto"/>
              </w:rPr>
            </w:pPr>
            <w:r>
              <w:rPr>
                <w:rFonts w:ascii="宋体" w:hAnsi="宋体" w:eastAsia="宋体"/>
                <w:color w:val="auto"/>
              </w:rPr>
              <w:t>4、支持设备集中管理，可在同一管理平台集中管理所有设备，支持设备分组，权限管理，实现分布式部署、集中管理，满足大型网络环境下的部署要求。</w:t>
            </w:r>
          </w:p>
          <w:p w14:paraId="4F97DD89">
            <w:pPr>
              <w:rPr>
                <w:rFonts w:hint="eastAsia" w:ascii="宋体" w:hAnsi="宋体" w:eastAsia="宋体"/>
                <w:color w:val="auto"/>
              </w:rPr>
            </w:pPr>
            <w:r>
              <w:rPr>
                <w:rFonts w:ascii="宋体" w:hAnsi="宋体" w:eastAsia="宋体"/>
                <w:color w:val="auto"/>
              </w:rPr>
              <w:t>5、支持旁路部署方式，不改变网络架构，可扩展性大，避免串行设备部署导致单点故障。</w:t>
            </w:r>
          </w:p>
          <w:p w14:paraId="27792894">
            <w:pPr>
              <w:rPr>
                <w:rFonts w:hint="eastAsia" w:ascii="宋体" w:hAnsi="宋体" w:eastAsia="宋体"/>
                <w:color w:val="auto"/>
              </w:rPr>
            </w:pPr>
            <w:r>
              <w:rPr>
                <w:rFonts w:ascii="宋体" w:hAnsi="宋体" w:eastAsia="宋体"/>
                <w:color w:val="auto"/>
              </w:rPr>
              <w:t>6、设备支持将收到的镜像流量做过滤并将镜像流量复制一份输出给其他流量监测类设备</w:t>
            </w:r>
            <w:r>
              <w:rPr>
                <w:rFonts w:hint="eastAsia" w:ascii="宋体" w:hAnsi="宋体" w:eastAsia="宋体"/>
                <w:b/>
                <w:bCs/>
                <w:color w:val="auto"/>
              </w:rPr>
              <w:t>（响应文件中需提供加盖制造商公章的能够体现上述功能的配置截图的扫描件或复印件）</w:t>
            </w:r>
            <w:r>
              <w:rPr>
                <w:rFonts w:ascii="宋体" w:hAnsi="宋体" w:eastAsia="宋体"/>
                <w:color w:val="auto"/>
              </w:rPr>
              <w:t>。</w:t>
            </w:r>
          </w:p>
          <w:p w14:paraId="1B11F2E9">
            <w:pPr>
              <w:rPr>
                <w:rFonts w:hint="eastAsia" w:ascii="宋体" w:hAnsi="宋体" w:eastAsia="宋体"/>
                <w:color w:val="auto"/>
              </w:rPr>
            </w:pPr>
            <w:r>
              <w:rPr>
                <w:rFonts w:ascii="宋体" w:hAnsi="宋体" w:eastAsia="宋体"/>
                <w:color w:val="auto"/>
              </w:rPr>
              <w:t>7、通过快速扫描方法，实现对网络中视频设备及其他设备数量和类型的分类统计，能够识别包括摄像头、NVR、DVR、存储服务器及其他计算机、交换机、服务器、移动终端等设备类型。</w:t>
            </w:r>
          </w:p>
          <w:p w14:paraId="192B2CF9">
            <w:pPr>
              <w:rPr>
                <w:rFonts w:hint="eastAsia" w:ascii="宋体" w:hAnsi="宋体" w:eastAsia="宋体"/>
                <w:color w:val="auto"/>
              </w:rPr>
            </w:pPr>
            <w:r>
              <w:rPr>
                <w:rFonts w:ascii="宋体" w:hAnsi="宋体" w:eastAsia="宋体"/>
                <w:color w:val="auto"/>
              </w:rPr>
              <w:t>8、以图形化形式展示网络内设备与设备之间的网络通讯关系，基于图形化数据可直观定位关键应用设备。</w:t>
            </w:r>
          </w:p>
          <w:p w14:paraId="15B8DD07">
            <w:pPr>
              <w:rPr>
                <w:rFonts w:hint="eastAsia" w:ascii="宋体" w:hAnsi="宋体" w:eastAsia="宋体"/>
                <w:color w:val="auto"/>
              </w:rPr>
            </w:pPr>
            <w:r>
              <w:rPr>
                <w:rFonts w:ascii="宋体" w:hAnsi="宋体" w:eastAsia="宋体"/>
                <w:color w:val="auto"/>
              </w:rPr>
              <w:t>9、系统能够记录网内设备变更IP的事件，支持对设备变更IP事件进行审计，方便管理员追踪；系统以图形化形式展现当前地址资源池使用情况，方便查看已使用IP、离线IP和未使用IP。</w:t>
            </w:r>
          </w:p>
          <w:p w14:paraId="63C5BC47">
            <w:pPr>
              <w:rPr>
                <w:rFonts w:hint="eastAsia" w:ascii="宋体" w:hAnsi="宋体" w:eastAsia="宋体"/>
                <w:b/>
                <w:bCs/>
                <w:color w:val="auto"/>
              </w:rPr>
            </w:pPr>
            <w:r>
              <w:rPr>
                <w:rFonts w:ascii="宋体" w:hAnsi="宋体" w:eastAsia="宋体"/>
                <w:color w:val="auto"/>
              </w:rPr>
              <w:t>10、支持GB/T28181及GB35114标准的识别，可以筛选出支持GB/T28181及GB35114协议的视频设备并禁止不支持的终端入网</w:t>
            </w:r>
            <w:r>
              <w:rPr>
                <w:rFonts w:hint="eastAsia" w:ascii="宋体" w:hAnsi="宋体" w:eastAsia="宋体"/>
                <w:b/>
                <w:bCs/>
                <w:color w:val="auto"/>
              </w:rPr>
              <w:t>（响应文件中需提供加盖制造商公章的能够体现上述功能的配置截图的扫描件或复印件）</w:t>
            </w:r>
          </w:p>
          <w:p w14:paraId="1709795A">
            <w:pPr>
              <w:rPr>
                <w:rFonts w:hint="eastAsia" w:ascii="宋体" w:hAnsi="宋体" w:eastAsia="宋体"/>
                <w:color w:val="auto"/>
              </w:rPr>
            </w:pPr>
            <w:r>
              <w:rPr>
                <w:rFonts w:ascii="宋体" w:hAnsi="宋体" w:eastAsia="宋体"/>
                <w:color w:val="auto"/>
              </w:rPr>
              <w:t>11、图形化展示网络拓扑，直观地展示网络设备之间的连接关系。</w:t>
            </w:r>
          </w:p>
          <w:p w14:paraId="4C02DE70">
            <w:pPr>
              <w:rPr>
                <w:rFonts w:hint="eastAsia" w:ascii="宋体" w:hAnsi="宋体" w:eastAsia="宋体"/>
                <w:color w:val="auto"/>
              </w:rPr>
            </w:pPr>
            <w:r>
              <w:rPr>
                <w:rFonts w:ascii="宋体" w:hAnsi="宋体" w:eastAsia="宋体"/>
                <w:color w:val="auto"/>
              </w:rPr>
              <w:t>12、产品支持多种认证控制方式，支持802.1x、portal、DHCP、MAB MAC、策略路由、旁路镜像、WebAuth等方式，支持无线和有线环境下的接入控制，适应复杂网络环境下的接入控制。</w:t>
            </w:r>
          </w:p>
          <w:p w14:paraId="5B44ED9D">
            <w:pPr>
              <w:rPr>
                <w:rFonts w:hint="eastAsia" w:ascii="宋体" w:hAnsi="宋体" w:eastAsia="宋体"/>
                <w:color w:val="auto"/>
              </w:rPr>
            </w:pPr>
            <w:r>
              <w:rPr>
                <w:rFonts w:ascii="宋体" w:hAnsi="宋体" w:eastAsia="宋体"/>
                <w:color w:val="auto"/>
              </w:rPr>
              <w:t>13、支持健康合规检查策略，采用动态检测技术，需支持多种检查机制，至少支持入网检查、定时检查、周期检查机制，针对接入内部网络的计算机终端实行多种安全检查策略，支持分组策略下发控制，拦截不安全终端接入网络。</w:t>
            </w:r>
          </w:p>
          <w:p w14:paraId="323D88B9">
            <w:pPr>
              <w:rPr>
                <w:rFonts w:hint="eastAsia" w:eastAsia="仿宋_GB2312"/>
                <w:color w:val="auto"/>
                <w:kern w:val="0"/>
                <w:sz w:val="24"/>
                <w:szCs w:val="21"/>
                <w:highlight w:val="none"/>
              </w:rPr>
            </w:pPr>
            <w:r>
              <w:rPr>
                <w:rFonts w:ascii="宋体" w:hAnsi="宋体" w:eastAsia="宋体"/>
                <w:color w:val="auto"/>
              </w:rPr>
              <w:t>14、系统需具备多种逃生机制，认证放行、流量放行、第三方服务器异常自动放行，确保非正常情况下不影响用户网络的稳定运行</w:t>
            </w:r>
            <w:r>
              <w:rPr>
                <w:rFonts w:hint="eastAsia" w:ascii="宋体" w:hAnsi="宋体" w:eastAsia="宋体"/>
                <w:b/>
                <w:bCs/>
                <w:color w:val="auto"/>
              </w:rPr>
              <w:t>（响应文件中需提供加盖制造商公章的能够体现上述功能的配置截图的扫描件或复印件）</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4F53DDDF">
            <w:pPr>
              <w:widowControl/>
              <w:spacing w:before="100" w:beforeLines="0" w:beforeAutospacing="1" w:after="100" w:afterLines="0" w:afterAutospacing="1"/>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A9123BA">
            <w:pPr>
              <w:widowControl/>
              <w:spacing w:before="100" w:beforeLines="0" w:beforeAutospacing="1" w:after="100" w:afterLines="0" w:afterAutospacing="1"/>
              <w:jc w:val="center"/>
              <w:rPr>
                <w:rFonts w:hint="eastAsia"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46286EBB">
            <w:pPr>
              <w:widowControl/>
              <w:spacing w:before="100" w:beforeLines="0" w:beforeAutospacing="1" w:after="100" w:afterLines="0" w:afterAutospacing="1"/>
              <w:jc w:val="center"/>
              <w:rPr>
                <w:rFonts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软件和信息技术服务业</w:t>
            </w:r>
          </w:p>
        </w:tc>
      </w:tr>
      <w:tr w14:paraId="60164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43FD021C">
            <w:pPr>
              <w:widowControl/>
              <w:jc w:val="center"/>
              <w:rPr>
                <w:rFonts w:hint="default" w:eastAsia="仿宋_GB2312"/>
                <w:color w:val="auto"/>
                <w:kern w:val="0"/>
                <w:sz w:val="28"/>
                <w:szCs w:val="28"/>
                <w:highlight w:val="none"/>
                <w:lang w:val="en-US" w:eastAsia="zh-CN"/>
              </w:rPr>
            </w:pPr>
            <w:r>
              <w:rPr>
                <w:rFonts w:hint="eastAsia" w:eastAsia="仿宋_GB2312"/>
                <w:color w:val="auto"/>
                <w:kern w:val="0"/>
                <w:sz w:val="28"/>
                <w:szCs w:val="28"/>
                <w:highlight w:val="none"/>
                <w:lang w:val="en-US" w:eastAsia="zh-CN"/>
              </w:rPr>
              <w:t>4</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362266CB">
            <w:pPr>
              <w:jc w:val="center"/>
              <w:rPr>
                <w:rFonts w:hint="default" w:ascii="仿宋_GB2312" w:hAnsi="仿宋_GB2312" w:eastAsia="仿宋_GB2312" w:cs="仿宋_GB2312"/>
                <w:color w:val="auto"/>
                <w:kern w:val="0"/>
                <w:sz w:val="24"/>
                <w:szCs w:val="21"/>
                <w:highlight w:val="none"/>
                <w:lang w:val="en-US" w:eastAsia="zh-CN"/>
              </w:rPr>
            </w:pPr>
            <w:r>
              <w:rPr>
                <w:rFonts w:hint="eastAsia" w:ascii="宋体" w:hAnsi="宋体" w:eastAsia="宋体"/>
                <w:color w:val="auto"/>
              </w:rPr>
              <w:t>Web应用防火墙</w:t>
            </w:r>
          </w:p>
        </w:tc>
        <w:tc>
          <w:tcPr>
            <w:tcW w:w="4329" w:type="dxa"/>
            <w:tcBorders>
              <w:top w:val="single" w:color="auto" w:sz="4" w:space="0"/>
              <w:left w:val="single" w:color="auto" w:sz="4" w:space="0"/>
              <w:bottom w:val="single" w:color="auto" w:sz="4" w:space="0"/>
              <w:right w:val="single" w:color="auto" w:sz="4" w:space="0"/>
            </w:tcBorders>
            <w:noWrap w:val="0"/>
            <w:vAlign w:val="center"/>
          </w:tcPr>
          <w:p w14:paraId="6892D16C">
            <w:pPr>
              <w:rPr>
                <w:rFonts w:hint="eastAsia" w:ascii="宋体" w:hAnsi="宋体" w:eastAsia="宋体"/>
                <w:color w:val="auto"/>
              </w:rPr>
            </w:pPr>
            <w:r>
              <w:rPr>
                <w:rFonts w:hint="eastAsia" w:ascii="宋体" w:hAnsi="宋体" w:eastAsia="宋体"/>
                <w:color w:val="auto"/>
              </w:rPr>
              <w:t>1、硬件规格：</w:t>
            </w:r>
            <w:r>
              <w:rPr>
                <w:rFonts w:ascii="宋体" w:hAnsi="宋体" w:eastAsia="宋体"/>
                <w:color w:val="auto"/>
              </w:rPr>
              <w:t>标准1U机箱，单电源；标准配置≥6个10/100/1000M自适应电口，≥4个SFP千兆光口，支持≥1个扩展槽，≥1个Console口，≥2个USB口，内置≥1TB机械硬盘，支持液晶面板。</w:t>
            </w:r>
          </w:p>
          <w:p w14:paraId="78522772">
            <w:pPr>
              <w:rPr>
                <w:rFonts w:hint="eastAsia" w:ascii="宋体" w:hAnsi="宋体" w:eastAsia="宋体"/>
                <w:color w:val="auto"/>
              </w:rPr>
            </w:pPr>
            <w:r>
              <w:rPr>
                <w:rFonts w:hint="eastAsia" w:ascii="宋体" w:hAnsi="宋体" w:eastAsia="宋体"/>
                <w:color w:val="auto"/>
              </w:rPr>
              <w:t>2、性能要求</w:t>
            </w:r>
            <w:r>
              <w:rPr>
                <w:rFonts w:ascii="宋体" w:hAnsi="宋体" w:eastAsia="宋体"/>
                <w:color w:val="auto"/>
              </w:rPr>
              <w:tab/>
            </w:r>
            <w:r>
              <w:rPr>
                <w:rFonts w:ascii="宋体" w:hAnsi="宋体" w:eastAsia="宋体"/>
                <w:color w:val="auto"/>
              </w:rPr>
              <w:t>网络吞吐量≥2Gbps，应用层处理能力为</w:t>
            </w:r>
            <w:r>
              <w:rPr>
                <w:rFonts w:hint="eastAsia" w:ascii="宋体" w:hAnsi="宋体" w:eastAsia="宋体"/>
                <w:color w:val="auto"/>
              </w:rPr>
              <w:t>7</w:t>
            </w:r>
            <w:r>
              <w:rPr>
                <w:rFonts w:ascii="宋体" w:hAnsi="宋体" w:eastAsia="宋体"/>
                <w:color w:val="auto"/>
              </w:rPr>
              <w:t>00Mbps，网络并发连接数≥85万，HTTP并发≥36万， Web安全保护≥32个站点；</w:t>
            </w:r>
          </w:p>
          <w:p w14:paraId="628985E7">
            <w:pPr>
              <w:rPr>
                <w:rFonts w:hint="eastAsia" w:ascii="宋体" w:hAnsi="宋体" w:eastAsia="宋体"/>
                <w:b/>
                <w:bCs/>
                <w:color w:val="auto"/>
              </w:rPr>
            </w:pPr>
            <w:r>
              <w:rPr>
                <w:rFonts w:ascii="宋体" w:hAnsi="宋体" w:eastAsia="宋体"/>
                <w:color w:val="auto"/>
              </w:rPr>
              <w:t>3</w:t>
            </w:r>
            <w:r>
              <w:rPr>
                <w:rFonts w:hint="eastAsia" w:ascii="宋体" w:hAnsi="宋体" w:eastAsia="宋体"/>
                <w:color w:val="auto"/>
              </w:rPr>
              <w:t>、</w:t>
            </w:r>
            <w:r>
              <w:rPr>
                <w:rFonts w:ascii="宋体" w:hAnsi="宋体" w:eastAsia="宋体"/>
                <w:color w:val="auto"/>
              </w:rPr>
              <w:t>支持在旁路镜像阻断模式下，可配置多组阻断以及镜像口，对检测到的攻击进行旁路阻断，并可指定对端设备MAC地址</w:t>
            </w:r>
            <w:r>
              <w:rPr>
                <w:rFonts w:hint="eastAsia" w:ascii="宋体" w:hAnsi="宋体" w:eastAsia="宋体"/>
                <w:color w:val="auto"/>
              </w:rPr>
              <w:t>。</w:t>
            </w:r>
            <w:r>
              <w:rPr>
                <w:rFonts w:hint="eastAsia" w:ascii="宋体" w:hAnsi="宋体" w:eastAsia="宋体"/>
                <w:b/>
                <w:bCs/>
                <w:color w:val="auto"/>
              </w:rPr>
              <w:t>（响应文件中需提供加盖制造商公章的能够体现上述功能的配置截图的扫描件或复印件）</w:t>
            </w:r>
          </w:p>
          <w:p w14:paraId="298E1D65">
            <w:pPr>
              <w:rPr>
                <w:rFonts w:hint="eastAsia" w:ascii="宋体" w:hAnsi="宋体" w:eastAsia="宋体"/>
                <w:color w:val="auto"/>
              </w:rPr>
            </w:pPr>
            <w:r>
              <w:rPr>
                <w:rFonts w:ascii="宋体" w:hAnsi="宋体" w:eastAsia="宋体"/>
                <w:color w:val="auto"/>
              </w:rPr>
              <w:t>4</w:t>
            </w:r>
            <w:r>
              <w:rPr>
                <w:rFonts w:hint="eastAsia" w:ascii="宋体" w:hAnsi="宋体" w:eastAsia="宋体"/>
                <w:color w:val="auto"/>
              </w:rPr>
              <w:t>、</w:t>
            </w:r>
            <w:r>
              <w:rPr>
                <w:rFonts w:ascii="宋体" w:hAnsi="宋体" w:eastAsia="宋体"/>
                <w:color w:val="auto"/>
              </w:rPr>
              <w:t>支持Web攻击防护功能，包括命令注入攻击，组件漏洞防护、Web扫描防护、XPATH注入防护、XML注入防护、SSI注入防护、JOSN注入防护、LDAP注入防护、webshell防护</w:t>
            </w:r>
          </w:p>
          <w:p w14:paraId="000B0E2E">
            <w:pPr>
              <w:rPr>
                <w:rFonts w:hint="eastAsia" w:ascii="宋体" w:hAnsi="宋体" w:eastAsia="宋体"/>
                <w:color w:val="auto"/>
              </w:rPr>
            </w:pPr>
            <w:r>
              <w:rPr>
                <w:rFonts w:ascii="宋体" w:hAnsi="宋体" w:eastAsia="宋体"/>
                <w:color w:val="auto"/>
              </w:rPr>
              <w:t>★5</w:t>
            </w:r>
            <w:r>
              <w:rPr>
                <w:rFonts w:hint="eastAsia" w:ascii="宋体" w:hAnsi="宋体" w:eastAsia="宋体"/>
                <w:color w:val="auto"/>
              </w:rPr>
              <w:t>、</w:t>
            </w:r>
            <w:r>
              <w:rPr>
                <w:rFonts w:ascii="宋体" w:hAnsi="宋体" w:eastAsia="宋体"/>
                <w:color w:val="auto"/>
              </w:rPr>
              <w:t>支持产品页面一键断网（禁止访问）功能，在特殊情况下，实现对特定网站的快速下线</w:t>
            </w:r>
            <w:r>
              <w:rPr>
                <w:rFonts w:hint="eastAsia" w:ascii="宋体" w:hAnsi="宋体" w:eastAsia="宋体"/>
                <w:color w:val="auto"/>
              </w:rPr>
              <w:t>。</w:t>
            </w:r>
            <w:r>
              <w:rPr>
                <w:rFonts w:hint="eastAsia" w:ascii="宋体" w:hAnsi="宋体" w:eastAsia="宋体"/>
                <w:b/>
                <w:bCs/>
                <w:color w:val="auto"/>
              </w:rPr>
              <w:t>（响应文件中需提供加盖制造商公章的能够体现上述功能的配置截图的扫描件或复印件）</w:t>
            </w:r>
          </w:p>
          <w:p w14:paraId="03838414">
            <w:pPr>
              <w:rPr>
                <w:rFonts w:hint="eastAsia" w:ascii="宋体" w:hAnsi="宋体" w:eastAsia="宋体"/>
                <w:color w:val="auto"/>
              </w:rPr>
            </w:pPr>
            <w:r>
              <w:rPr>
                <w:rFonts w:hint="eastAsia" w:ascii="宋体" w:hAnsi="宋体" w:eastAsia="宋体"/>
                <w:color w:val="auto"/>
              </w:rPr>
              <w:t>6、</w:t>
            </w:r>
            <w:r>
              <w:rPr>
                <w:rFonts w:ascii="宋体" w:hAnsi="宋体" w:eastAsia="宋体"/>
                <w:color w:val="auto"/>
              </w:rPr>
              <w:t>支持IP访问控制，可根据源目的IP，端口，协议等进行访问控制处理，并可自定义访问过期时长</w:t>
            </w:r>
          </w:p>
          <w:p w14:paraId="56C4383D">
            <w:pPr>
              <w:rPr>
                <w:rFonts w:hint="eastAsia" w:ascii="宋体" w:hAnsi="宋体" w:eastAsia="宋体"/>
                <w:b/>
                <w:bCs/>
                <w:color w:val="auto"/>
              </w:rPr>
            </w:pPr>
            <w:r>
              <w:rPr>
                <w:rFonts w:ascii="宋体" w:hAnsi="宋体" w:eastAsia="宋体"/>
                <w:color w:val="auto"/>
              </w:rPr>
              <w:t>7</w:t>
            </w:r>
            <w:r>
              <w:rPr>
                <w:rFonts w:hint="eastAsia" w:ascii="宋体" w:hAnsi="宋体" w:eastAsia="宋体"/>
                <w:color w:val="auto"/>
              </w:rPr>
              <w:t>、</w:t>
            </w:r>
            <w:r>
              <w:rPr>
                <w:rFonts w:ascii="宋体" w:hAnsi="宋体" w:eastAsia="宋体"/>
                <w:color w:val="auto"/>
              </w:rPr>
              <w:t>支持攻击态势大屏实时展示，可通过产品自带的实时态势监测模块进行攻击态势地图展示，包含对源地址、源地域、目标资产、安全防护攻击类型、攻击趋势、HTTP并发请求及实时事件的动画统计</w:t>
            </w:r>
            <w:r>
              <w:rPr>
                <w:rFonts w:hint="eastAsia" w:ascii="宋体" w:hAnsi="宋体" w:eastAsia="宋体"/>
                <w:color w:val="auto"/>
              </w:rPr>
              <w:t>。</w:t>
            </w:r>
            <w:r>
              <w:rPr>
                <w:rFonts w:hint="eastAsia" w:ascii="宋体" w:hAnsi="宋体" w:eastAsia="宋体"/>
                <w:b/>
                <w:bCs/>
                <w:color w:val="auto"/>
              </w:rPr>
              <w:t>（响应文件中需提供加盖制造商公章的能够体现上述功能的配置截图的扫描件或复印件）</w:t>
            </w:r>
          </w:p>
          <w:p w14:paraId="107B7B05">
            <w:pPr>
              <w:rPr>
                <w:rFonts w:hint="eastAsia" w:ascii="宋体" w:hAnsi="宋体" w:eastAsia="宋体"/>
                <w:b/>
                <w:bCs/>
                <w:color w:val="auto"/>
              </w:rPr>
            </w:pPr>
            <w:r>
              <w:rPr>
                <w:rFonts w:ascii="宋体" w:hAnsi="宋体" w:eastAsia="宋体"/>
                <w:color w:val="auto"/>
              </w:rPr>
              <w:t>8</w:t>
            </w:r>
            <w:r>
              <w:rPr>
                <w:rFonts w:hint="eastAsia" w:ascii="宋体" w:hAnsi="宋体" w:eastAsia="宋体"/>
                <w:color w:val="auto"/>
              </w:rPr>
              <w:t>、</w:t>
            </w:r>
            <w:r>
              <w:rPr>
                <w:rFonts w:ascii="宋体" w:hAnsi="宋体" w:eastAsia="宋体"/>
                <w:color w:val="auto"/>
              </w:rPr>
              <w:t>支持防暴力破解功能，可支持频率阈值，动态令牌以及频率阈值+动态令牌等三种方式实现暴力破解防护</w:t>
            </w:r>
            <w:r>
              <w:rPr>
                <w:rFonts w:hint="eastAsia" w:ascii="宋体" w:hAnsi="宋体" w:eastAsia="宋体"/>
                <w:color w:val="auto"/>
              </w:rPr>
              <w:t>。</w:t>
            </w:r>
            <w:r>
              <w:rPr>
                <w:rFonts w:hint="eastAsia" w:ascii="宋体" w:hAnsi="宋体" w:eastAsia="宋体"/>
                <w:b/>
                <w:bCs/>
                <w:color w:val="auto"/>
              </w:rPr>
              <w:t>（响应文件中需提供加盖制造商公章的能够体现上述功能的配置截图的扫描件或复印件）</w:t>
            </w:r>
          </w:p>
          <w:p w14:paraId="55A62C19">
            <w:pPr>
              <w:rPr>
                <w:rFonts w:hint="eastAsia" w:ascii="宋体" w:hAnsi="宋体" w:eastAsia="宋体"/>
                <w:color w:val="auto"/>
              </w:rPr>
            </w:pPr>
            <w:r>
              <w:rPr>
                <w:rFonts w:hint="eastAsia" w:ascii="宋体" w:hAnsi="宋体" w:eastAsia="宋体"/>
                <w:color w:val="auto"/>
              </w:rPr>
              <w:t>9、</w:t>
            </w:r>
            <w:r>
              <w:rPr>
                <w:rFonts w:ascii="宋体" w:hAnsi="宋体" w:eastAsia="宋体"/>
                <w:color w:val="auto"/>
              </w:rPr>
              <w:t>支持入侵防护功能，并提供入侵防护特征库，特征库需要提供22种类型并提供至少14000条入侵检测特征库；</w:t>
            </w:r>
          </w:p>
          <w:p w14:paraId="06B37949">
            <w:pPr>
              <w:rPr>
                <w:rFonts w:hint="eastAsia" w:ascii="宋体" w:hAnsi="宋体" w:eastAsia="宋体"/>
                <w:color w:val="auto"/>
              </w:rPr>
            </w:pPr>
            <w:r>
              <w:rPr>
                <w:rFonts w:hint="eastAsia" w:ascii="宋体" w:hAnsi="宋体" w:eastAsia="宋体"/>
                <w:color w:val="auto"/>
              </w:rPr>
              <w:t>1</w:t>
            </w:r>
            <w:r>
              <w:rPr>
                <w:rFonts w:ascii="宋体" w:hAnsi="宋体" w:eastAsia="宋体"/>
                <w:color w:val="auto"/>
              </w:rPr>
              <w:t>0</w:t>
            </w:r>
            <w:r>
              <w:rPr>
                <w:rFonts w:hint="eastAsia" w:ascii="宋体" w:hAnsi="宋体" w:eastAsia="宋体"/>
                <w:color w:val="auto"/>
              </w:rPr>
              <w:t>、</w:t>
            </w:r>
            <w:r>
              <w:rPr>
                <w:rFonts w:ascii="宋体" w:hAnsi="宋体" w:eastAsia="宋体"/>
                <w:color w:val="auto"/>
              </w:rPr>
              <w:t>支持日志综合统计分析，可对源IP、目的IP、源地域、攻击类型、级别、处理动作、协议类型、客户端设备类型、客户端操作系统、客户端浏览器类型进行综合统计分析，并通过饼图、曲线图及柱图等对分析结果进行图形化统计；</w:t>
            </w:r>
          </w:p>
          <w:p w14:paraId="2F11A40D">
            <w:pPr>
              <w:rPr>
                <w:rFonts w:hint="eastAsia" w:ascii="宋体" w:hAnsi="宋体" w:eastAsia="宋体"/>
                <w:color w:val="auto"/>
              </w:rPr>
            </w:pPr>
            <w:r>
              <w:rPr>
                <w:rFonts w:hint="eastAsia" w:ascii="宋体" w:hAnsi="宋体" w:eastAsia="宋体"/>
                <w:color w:val="auto"/>
              </w:rPr>
              <w:t>1</w:t>
            </w:r>
            <w:r>
              <w:rPr>
                <w:rFonts w:ascii="宋体" w:hAnsi="宋体" w:eastAsia="宋体"/>
                <w:color w:val="auto"/>
              </w:rPr>
              <w:t>1</w:t>
            </w:r>
            <w:r>
              <w:rPr>
                <w:rFonts w:hint="eastAsia" w:ascii="宋体" w:hAnsi="宋体" w:eastAsia="宋体"/>
                <w:color w:val="auto"/>
              </w:rPr>
              <w:t>、</w:t>
            </w:r>
            <w:r>
              <w:rPr>
                <w:rFonts w:ascii="宋体" w:hAnsi="宋体" w:eastAsia="宋体"/>
                <w:color w:val="auto"/>
              </w:rPr>
              <w:t>支持bypass功能，开启Bypass后，设备将进入Bypass状态，保证业务正常运行；</w:t>
            </w:r>
          </w:p>
          <w:p w14:paraId="12B88CFC">
            <w:pPr>
              <w:rPr>
                <w:rFonts w:hint="eastAsia" w:ascii="宋体" w:hAnsi="宋体" w:cs="宋体"/>
                <w:color w:val="auto"/>
                <w:szCs w:val="21"/>
                <w:highlight w:val="none"/>
              </w:rPr>
            </w:pPr>
            <w:r>
              <w:rPr>
                <w:rFonts w:ascii="宋体" w:hAnsi="宋体" w:eastAsia="宋体"/>
                <w:color w:val="auto"/>
              </w:rPr>
              <w:t>12</w:t>
            </w:r>
            <w:r>
              <w:rPr>
                <w:rFonts w:hint="eastAsia" w:ascii="宋体" w:hAnsi="宋体" w:eastAsia="宋体"/>
                <w:color w:val="auto"/>
              </w:rPr>
              <w:t>、</w:t>
            </w:r>
            <w:r>
              <w:rPr>
                <w:rFonts w:ascii="宋体" w:hAnsi="宋体" w:eastAsia="宋体"/>
                <w:color w:val="auto"/>
              </w:rPr>
              <w:t>所投产品具备</w:t>
            </w:r>
            <w:r>
              <w:rPr>
                <w:rFonts w:hint="eastAsia" w:ascii="宋体" w:hAnsi="宋体" w:eastAsia="宋体"/>
                <w:color w:val="auto"/>
              </w:rPr>
              <w:t>中国信息安全测评中心</w:t>
            </w:r>
            <w:r>
              <w:rPr>
                <w:rFonts w:ascii="宋体" w:hAnsi="宋体" w:eastAsia="宋体"/>
                <w:color w:val="auto"/>
              </w:rPr>
              <w:t>中心颁发的《信息技术产品安全测评证书》（千兆 EAL3+）</w:t>
            </w:r>
            <w:r>
              <w:rPr>
                <w:rFonts w:hint="eastAsia" w:ascii="宋体" w:hAnsi="宋体" w:eastAsia="宋体"/>
                <w:color w:val="auto"/>
              </w:rPr>
              <w:t>和</w:t>
            </w:r>
            <w:r>
              <w:rPr>
                <w:rFonts w:ascii="宋体" w:hAnsi="宋体" w:eastAsia="宋体"/>
                <w:color w:val="auto"/>
              </w:rPr>
              <w:t>《</w:t>
            </w:r>
            <w:r>
              <w:rPr>
                <w:rFonts w:hint="eastAsia" w:ascii="宋体" w:hAnsi="宋体" w:eastAsia="宋体"/>
                <w:color w:val="auto"/>
              </w:rPr>
              <w:t>国家信息安全漏洞库兼容性资质证书》（千兆或万兆）</w:t>
            </w:r>
            <w:r>
              <w:rPr>
                <w:rFonts w:ascii="宋体" w:hAnsi="宋体" w:eastAsia="宋体"/>
                <w:color w:val="auto"/>
              </w:rPr>
              <w:t>，</w:t>
            </w:r>
            <w:r>
              <w:rPr>
                <w:rFonts w:hint="eastAsia" w:ascii="宋体" w:hAnsi="宋体" w:eastAsia="宋体"/>
                <w:color w:val="auto"/>
                <w:lang w:eastAsia="zh-CN"/>
              </w:rPr>
              <w:t>（</w:t>
            </w:r>
            <w:r>
              <w:rPr>
                <w:rFonts w:hint="eastAsia" w:ascii="宋体" w:hAnsi="宋体" w:eastAsia="宋体"/>
                <w:b/>
                <w:bCs/>
                <w:color w:val="auto"/>
              </w:rPr>
              <w:t>响应文件中需提供</w:t>
            </w:r>
            <w:r>
              <w:rPr>
                <w:rFonts w:ascii="宋体" w:hAnsi="宋体" w:eastAsia="宋体"/>
                <w:b/>
                <w:bCs/>
                <w:color w:val="auto"/>
              </w:rPr>
              <w:t>证书</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w:t>
            </w:r>
            <w:r>
              <w:rPr>
                <w:rFonts w:ascii="宋体" w:hAnsi="宋体" w:eastAsia="宋体"/>
                <w:b/>
                <w:bCs/>
                <w:color w:val="auto"/>
              </w:rPr>
              <w:t>并加盖制造商公章</w:t>
            </w:r>
            <w:r>
              <w:rPr>
                <w:rFonts w:hint="eastAsia" w:ascii="宋体" w:hAnsi="宋体" w:eastAsia="宋体"/>
                <w:color w:val="auto"/>
                <w:lang w:eastAsia="zh-CN"/>
              </w:rPr>
              <w:t>）</w:t>
            </w:r>
            <w:r>
              <w:rPr>
                <w:rFonts w:hint="eastAsia" w:ascii="宋体" w:hAnsi="宋体" w:eastAsia="宋体"/>
                <w:color w:val="auto"/>
              </w:rPr>
              <w:t>。</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3F1ADF7E">
            <w:pPr>
              <w:widowControl/>
              <w:spacing w:before="100" w:beforeLines="0" w:beforeAutospacing="1" w:after="100" w:afterLines="0" w:afterAutospacing="1"/>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7B14F642">
            <w:pPr>
              <w:widowControl/>
              <w:spacing w:before="100" w:beforeLines="0" w:beforeAutospacing="1" w:after="100" w:afterLines="0" w:afterAutospacing="1"/>
              <w:jc w:val="center"/>
              <w:rPr>
                <w:rFonts w:hint="eastAsia"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36421F1">
            <w:pPr>
              <w:widowControl/>
              <w:spacing w:before="100" w:beforeLines="0" w:beforeAutospacing="1" w:after="100" w:afterLines="0" w:afterAutospacing="1"/>
              <w:jc w:val="center"/>
              <w:rPr>
                <w:rFonts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软件和信息技术服务业</w:t>
            </w:r>
          </w:p>
        </w:tc>
      </w:tr>
      <w:tr w14:paraId="7424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97" w:type="dxa"/>
            <w:tcBorders>
              <w:top w:val="single" w:color="auto" w:sz="4" w:space="0"/>
              <w:left w:val="single" w:color="auto" w:sz="4" w:space="0"/>
              <w:bottom w:val="single" w:color="auto" w:sz="4" w:space="0"/>
              <w:right w:val="single" w:color="auto" w:sz="4" w:space="0"/>
            </w:tcBorders>
            <w:noWrap w:val="0"/>
            <w:vAlign w:val="center"/>
          </w:tcPr>
          <w:p w14:paraId="6A7359F1">
            <w:pPr>
              <w:widowControl/>
              <w:jc w:val="center"/>
              <w:rPr>
                <w:rFonts w:hint="default" w:eastAsia="仿宋_GB2312"/>
                <w:color w:val="auto"/>
                <w:kern w:val="0"/>
                <w:sz w:val="28"/>
                <w:szCs w:val="28"/>
                <w:highlight w:val="none"/>
                <w:lang w:val="en-US" w:eastAsia="zh-CN"/>
              </w:rPr>
            </w:pPr>
            <w:r>
              <w:rPr>
                <w:rFonts w:hint="eastAsia" w:eastAsia="仿宋_GB2312"/>
                <w:color w:val="auto"/>
                <w:kern w:val="0"/>
                <w:sz w:val="28"/>
                <w:szCs w:val="28"/>
                <w:highlight w:val="none"/>
                <w:lang w:val="en-US" w:eastAsia="zh-CN"/>
              </w:rPr>
              <w:t>5</w:t>
            </w:r>
          </w:p>
        </w:tc>
        <w:tc>
          <w:tcPr>
            <w:tcW w:w="1496" w:type="dxa"/>
            <w:tcBorders>
              <w:top w:val="single" w:color="auto" w:sz="4" w:space="0"/>
              <w:left w:val="single" w:color="auto" w:sz="4" w:space="0"/>
              <w:bottom w:val="single" w:color="auto" w:sz="4" w:space="0"/>
              <w:right w:val="single" w:color="auto" w:sz="4" w:space="0"/>
            </w:tcBorders>
            <w:noWrap w:val="0"/>
            <w:vAlign w:val="center"/>
          </w:tcPr>
          <w:p w14:paraId="3AFEFB98">
            <w:pPr>
              <w:widowControl/>
              <w:jc w:val="center"/>
              <w:rPr>
                <w:rFonts w:hint="default" w:ascii="仿宋_GB2312" w:hAnsi="仿宋_GB2312" w:eastAsia="仿宋_GB2312" w:cs="仿宋_GB2312"/>
                <w:color w:val="auto"/>
                <w:kern w:val="0"/>
                <w:sz w:val="24"/>
                <w:szCs w:val="21"/>
                <w:highlight w:val="none"/>
                <w:lang w:val="en-US" w:eastAsia="zh-CN"/>
              </w:rPr>
            </w:pPr>
            <w:r>
              <w:rPr>
                <w:rFonts w:hint="eastAsia" w:ascii="宋体" w:hAnsi="宋体" w:eastAsia="宋体"/>
                <w:color w:val="auto"/>
              </w:rPr>
              <w:t>数据库审计</w:t>
            </w:r>
          </w:p>
        </w:tc>
        <w:tc>
          <w:tcPr>
            <w:tcW w:w="4329" w:type="dxa"/>
            <w:tcBorders>
              <w:top w:val="single" w:color="auto" w:sz="4" w:space="0"/>
              <w:left w:val="single" w:color="auto" w:sz="4" w:space="0"/>
              <w:bottom w:val="single" w:color="auto" w:sz="4" w:space="0"/>
              <w:right w:val="single" w:color="auto" w:sz="4" w:space="0"/>
            </w:tcBorders>
            <w:noWrap w:val="0"/>
            <w:vAlign w:val="center"/>
          </w:tcPr>
          <w:p w14:paraId="6F1101E2">
            <w:pPr>
              <w:rPr>
                <w:rFonts w:hint="eastAsia" w:ascii="宋体" w:hAnsi="宋体" w:eastAsia="宋体"/>
                <w:color w:val="auto"/>
              </w:rPr>
            </w:pPr>
            <w:r>
              <w:rPr>
                <w:rFonts w:hint="eastAsia" w:ascii="宋体" w:hAnsi="宋体" w:eastAsia="宋体"/>
                <w:color w:val="auto"/>
              </w:rPr>
              <w:t>1、硬件规格：标准2U机架，专用千兆多核硬件平台和安全操作系统，16G内存，2TB硬盘，6个10/100/1000M Base-T电口，单电源。TPS：20000条/秒，日志存储量：120亿条。</w:t>
            </w:r>
          </w:p>
          <w:p w14:paraId="1839325C">
            <w:pPr>
              <w:rPr>
                <w:rFonts w:hint="eastAsia" w:ascii="宋体" w:hAnsi="宋体" w:eastAsia="宋体"/>
                <w:color w:val="auto"/>
              </w:rPr>
            </w:pPr>
            <w:r>
              <w:rPr>
                <w:rFonts w:hint="eastAsia" w:ascii="宋体" w:hAnsi="宋体" w:eastAsia="宋体"/>
                <w:color w:val="auto"/>
              </w:rPr>
              <w:t>2、、支持同时端口镜像物理旁路部署和agent部署，不改变现有网络结构；运维操作支持代理模式部署；</w:t>
            </w:r>
          </w:p>
          <w:p w14:paraId="31942887">
            <w:pPr>
              <w:rPr>
                <w:rFonts w:hint="eastAsia" w:ascii="宋体" w:hAnsi="宋体" w:eastAsia="宋体"/>
                <w:b/>
                <w:bCs/>
                <w:color w:val="auto"/>
                <w:highlight w:val="yellow"/>
              </w:rPr>
            </w:pPr>
            <w:r>
              <w:rPr>
                <w:rFonts w:hint="eastAsia" w:ascii="宋体" w:hAnsi="宋体" w:eastAsia="宋体"/>
                <w:color w:val="auto"/>
              </w:rPr>
              <w:t>3、为保证数据库运维及审计安全可靠，</w:t>
            </w:r>
            <w:r>
              <w:rPr>
                <w:rFonts w:hint="eastAsia" w:ascii="宋体" w:hAnsi="宋体" w:eastAsia="宋体"/>
                <w:b/>
                <w:bCs/>
                <w:color w:val="auto"/>
              </w:rPr>
              <w:t>响应文件中</w:t>
            </w:r>
            <w:r>
              <w:rPr>
                <w:rFonts w:hint="eastAsia" w:ascii="宋体" w:hAnsi="宋体" w:eastAsia="宋体"/>
                <w:b/>
                <w:bCs/>
                <w:color w:val="auto"/>
                <w:highlight w:val="none"/>
              </w:rPr>
              <w:t>提供一套数据库相关运维软件，提供定制化软件源代码及定制化界面截图，并出具原厂商承诺函并加盖</w:t>
            </w:r>
            <w:r>
              <w:rPr>
                <w:rFonts w:ascii="宋体" w:hAnsi="宋体" w:eastAsia="宋体"/>
                <w:b/>
                <w:bCs/>
                <w:color w:val="auto"/>
              </w:rPr>
              <w:t>制造商</w:t>
            </w:r>
            <w:r>
              <w:rPr>
                <w:rFonts w:hint="eastAsia" w:ascii="宋体" w:hAnsi="宋体" w:eastAsia="宋体"/>
                <w:b/>
                <w:bCs/>
                <w:color w:val="auto"/>
                <w:highlight w:val="none"/>
              </w:rPr>
              <w:t>公章及法定代表人签字；</w:t>
            </w:r>
          </w:p>
          <w:p w14:paraId="228126D2">
            <w:pPr>
              <w:rPr>
                <w:rFonts w:hint="eastAsia" w:ascii="宋体" w:hAnsi="宋体" w:eastAsia="宋体"/>
                <w:color w:val="auto"/>
              </w:rPr>
            </w:pPr>
            <w:r>
              <w:rPr>
                <w:rFonts w:hint="eastAsia" w:ascii="宋体" w:hAnsi="宋体" w:eastAsia="宋体"/>
                <w:color w:val="auto"/>
              </w:rPr>
              <w:t>4</w:t>
            </w:r>
            <w:r>
              <w:rPr>
                <w:rFonts w:ascii="宋体" w:hAnsi="宋体" w:eastAsia="宋体"/>
                <w:color w:val="auto"/>
              </w:rPr>
              <w:t>、</w:t>
            </w:r>
            <w:r>
              <w:rPr>
                <w:rFonts w:hint="eastAsia" w:ascii="宋体" w:hAnsi="宋体" w:eastAsia="宋体"/>
                <w:color w:val="auto"/>
              </w:rPr>
              <w:t>支持组定义类型（用户、资源、综合）便于模块显示。</w:t>
            </w:r>
            <w:r>
              <w:rPr>
                <w:rFonts w:hint="eastAsia" w:ascii="宋体" w:hAnsi="宋体" w:eastAsia="宋体"/>
                <w:b/>
                <w:bCs/>
                <w:color w:val="auto"/>
              </w:rPr>
              <w:t>（响应文件中需提供加盖制造商公章的能够体现上述功能的配置截图的扫描件或复印件）</w:t>
            </w:r>
          </w:p>
          <w:p w14:paraId="36C9094D">
            <w:pPr>
              <w:rPr>
                <w:rFonts w:hint="eastAsia" w:ascii="宋体" w:hAnsi="宋体" w:eastAsia="宋体"/>
                <w:color w:val="auto"/>
              </w:rPr>
            </w:pPr>
            <w:r>
              <w:rPr>
                <w:rFonts w:hint="eastAsia" w:ascii="宋体" w:hAnsi="宋体" w:eastAsia="宋体"/>
                <w:color w:val="auto"/>
              </w:rPr>
              <w:t>5</w:t>
            </w:r>
            <w:r>
              <w:rPr>
                <w:rFonts w:ascii="宋体" w:hAnsi="宋体" w:eastAsia="宋体"/>
                <w:color w:val="auto"/>
              </w:rPr>
              <w:t>、</w:t>
            </w:r>
            <w:r>
              <w:rPr>
                <w:rFonts w:hint="eastAsia" w:ascii="宋体" w:hAnsi="宋体" w:eastAsia="宋体"/>
                <w:color w:val="auto"/>
              </w:rPr>
              <w:t>新建的岗位可以绑定被审计数据库，同时可以绑定数据库从账号，授权关系可随岗位迁移；并可对岗位下的所属用户设置认证、访问、密码安全策略。</w:t>
            </w:r>
            <w:r>
              <w:rPr>
                <w:rFonts w:hint="eastAsia" w:ascii="宋体" w:hAnsi="宋体" w:eastAsia="宋体"/>
                <w:b/>
                <w:bCs/>
                <w:color w:val="auto"/>
              </w:rPr>
              <w:t>（响应文件中需提供加盖制造商公章的能够体现上述功能的配置截图的扫描件或复印件）</w:t>
            </w:r>
            <w:r>
              <w:rPr>
                <w:rFonts w:hint="eastAsia" w:ascii="宋体" w:hAnsi="宋体" w:eastAsia="宋体"/>
                <w:color w:val="auto"/>
              </w:rPr>
              <w:t>；</w:t>
            </w:r>
          </w:p>
          <w:p w14:paraId="32F59071">
            <w:pPr>
              <w:rPr>
                <w:rFonts w:hint="eastAsia" w:ascii="宋体" w:hAnsi="宋体" w:eastAsia="宋体"/>
                <w:color w:val="auto"/>
              </w:rPr>
            </w:pPr>
            <w:r>
              <w:rPr>
                <w:rFonts w:hint="eastAsia" w:ascii="宋体" w:hAnsi="宋体" w:eastAsia="宋体"/>
                <w:color w:val="auto"/>
              </w:rPr>
              <w:t>6、支持oracle、SQLserver、MySql、DB2、达梦、人大金仓、informix、sybase、postgreSQL、MariaDB、神通、瀚高、TBase、HBase、Teradata、Redis、TiDB、MongoDB、Greenplum、Hana、GaussDB、Spark、Hive、Elasticsearch、HDFS、Impala等二十六种数据库审计；</w:t>
            </w:r>
          </w:p>
          <w:p w14:paraId="7231CB80">
            <w:pPr>
              <w:rPr>
                <w:rFonts w:hint="eastAsia" w:ascii="宋体" w:hAnsi="宋体" w:eastAsia="宋体"/>
                <w:color w:val="auto"/>
              </w:rPr>
            </w:pPr>
            <w:r>
              <w:rPr>
                <w:rFonts w:hint="eastAsia" w:ascii="宋体" w:hAnsi="宋体" w:eastAsia="宋体"/>
                <w:color w:val="auto"/>
              </w:rPr>
              <w:t>9、支持对局域网内的数据库进行自动发现扫描, 扫描到的数据库可添加成审计对象进行审计，简化操作。</w:t>
            </w:r>
          </w:p>
          <w:p w14:paraId="56A022A7">
            <w:pPr>
              <w:rPr>
                <w:rFonts w:hint="eastAsia" w:ascii="宋体" w:hAnsi="宋体" w:eastAsia="宋体"/>
                <w:color w:val="auto"/>
              </w:rPr>
            </w:pPr>
            <w:r>
              <w:rPr>
                <w:rFonts w:hint="eastAsia" w:ascii="宋体" w:hAnsi="宋体" w:eastAsia="宋体"/>
                <w:color w:val="auto"/>
              </w:rPr>
              <w:t xml:space="preserve">支持用户、被审计数据库、从账号的授权绑定；支持用户与岗位的授权绑定；显示用户、岗位、被审计数据库（含数据库类型、IP、端口号）、数据库从账号的绑定关系列表； </w:t>
            </w:r>
          </w:p>
          <w:p w14:paraId="42589828">
            <w:pPr>
              <w:rPr>
                <w:rFonts w:hint="eastAsia" w:ascii="宋体" w:hAnsi="宋体" w:eastAsia="宋体"/>
                <w:b/>
                <w:bCs/>
                <w:color w:val="auto"/>
              </w:rPr>
            </w:pPr>
            <w:r>
              <w:rPr>
                <w:rFonts w:hint="eastAsia" w:ascii="宋体" w:hAnsi="宋体" w:eastAsia="宋体"/>
                <w:color w:val="auto"/>
              </w:rPr>
              <w:t>10、支持审计会话条件检索，检索条件：时间、数据库IP、客户端IP、数据库端口、应用程序、数据库用户名、数据库名等；支持每条数据库会话中的详细操作信息的审计，包含：应用程序、捕捉时间、执行时长、SQL类别、风险等级、策略名、客户端MAC、操作系统用户、操作系统计算机、数据库MAC、SQL结果、SQL内容等。</w:t>
            </w:r>
            <w:r>
              <w:rPr>
                <w:rFonts w:hint="eastAsia" w:ascii="宋体" w:hAnsi="宋体" w:eastAsia="宋体"/>
                <w:b/>
                <w:bCs/>
                <w:color w:val="auto"/>
              </w:rPr>
              <w:t>（响应文件中需提供加盖制造商公章的能够体现上述功能的配置截图的扫描件或复印件）</w:t>
            </w:r>
          </w:p>
          <w:p w14:paraId="505CE2AF">
            <w:pPr>
              <w:rPr>
                <w:rFonts w:hint="eastAsia" w:ascii="宋体" w:hAnsi="宋体" w:eastAsia="宋体"/>
                <w:color w:val="auto"/>
              </w:rPr>
            </w:pPr>
            <w:r>
              <w:rPr>
                <w:rFonts w:hint="eastAsia" w:ascii="宋体" w:hAnsi="宋体" w:eastAsia="宋体"/>
                <w:color w:val="auto"/>
              </w:rPr>
              <w:t>；支持会话回放功能；</w:t>
            </w:r>
          </w:p>
          <w:p w14:paraId="648C6EC2">
            <w:pPr>
              <w:pStyle w:val="8"/>
              <w:spacing w:line="300" w:lineRule="auto"/>
              <w:ind w:firstLine="0" w:firstLineChars="0"/>
              <w:jc w:val="left"/>
              <w:rPr>
                <w:rFonts w:hint="eastAsia" w:ascii="宋体" w:hAnsi="宋体" w:eastAsia="宋体"/>
                <w:color w:val="auto"/>
                <w:sz w:val="21"/>
                <w:szCs w:val="22"/>
              </w:rPr>
            </w:pPr>
            <w:r>
              <w:rPr>
                <w:rFonts w:hint="eastAsia" w:ascii="宋体" w:hAnsi="宋体" w:eastAsia="宋体"/>
                <w:color w:val="auto"/>
                <w:sz w:val="21"/>
                <w:szCs w:val="22"/>
              </w:rPr>
              <w:t>11、支持运维审计会话条件检索，检索条件：时间、数据库用户名、用户登录名、数据库IP、数据库端口、数据库名数据库类型、客户端等；</w:t>
            </w:r>
          </w:p>
          <w:p w14:paraId="53D651BF">
            <w:pPr>
              <w:pStyle w:val="8"/>
              <w:spacing w:line="300" w:lineRule="auto"/>
              <w:ind w:firstLine="0" w:firstLineChars="0"/>
              <w:jc w:val="left"/>
              <w:rPr>
                <w:rFonts w:hint="eastAsia" w:ascii="宋体" w:hAnsi="宋体" w:eastAsia="宋体"/>
                <w:color w:val="auto"/>
                <w:sz w:val="21"/>
                <w:szCs w:val="22"/>
              </w:rPr>
            </w:pPr>
            <w:r>
              <w:rPr>
                <w:rFonts w:hint="eastAsia" w:ascii="宋体" w:hAnsi="宋体" w:eastAsia="宋体"/>
                <w:color w:val="auto"/>
                <w:sz w:val="21"/>
                <w:szCs w:val="22"/>
              </w:rPr>
              <w:t>12、支持每条运维会话中的详细操作信息的审计，包含：数据库用户名、用户登录名、客户端、捕捉时间、SQL类别、风险等级、策略名、SQL结果、数据库名称、执行时长、操作对象、SQL内容、操作结果等；支持运维会话回放功能；</w:t>
            </w:r>
          </w:p>
          <w:p w14:paraId="03FFB260">
            <w:pPr>
              <w:rPr>
                <w:rFonts w:hint="eastAsia" w:ascii="宋体" w:hAnsi="宋体" w:eastAsia="宋体"/>
                <w:color w:val="auto"/>
              </w:rPr>
            </w:pPr>
            <w:r>
              <w:rPr>
                <w:rFonts w:hint="eastAsia" w:ascii="宋体" w:hAnsi="宋体" w:eastAsia="宋体"/>
                <w:color w:val="auto"/>
                <w:sz w:val="21"/>
                <w:szCs w:val="22"/>
              </w:rPr>
              <w:t>13、支持数据库运维人员一键快速登录被审计数据库。</w:t>
            </w:r>
            <w:r>
              <w:rPr>
                <w:rFonts w:hint="eastAsia" w:ascii="宋体" w:hAnsi="宋体" w:eastAsia="宋体"/>
                <w:b/>
                <w:bCs/>
                <w:color w:val="auto"/>
              </w:rPr>
              <w:t>（响应文件中需提供加盖制造商公章的能够体现上述功能的配置截图的扫描件或复印件）</w:t>
            </w:r>
          </w:p>
          <w:p w14:paraId="728A314C">
            <w:pPr>
              <w:rPr>
                <w:rFonts w:hint="eastAsia" w:ascii="宋体" w:hAnsi="宋体" w:eastAsia="宋体"/>
                <w:color w:val="auto"/>
              </w:rPr>
            </w:pPr>
            <w:r>
              <w:rPr>
                <w:rFonts w:hint="eastAsia" w:ascii="宋体" w:hAnsi="宋体" w:eastAsia="宋体"/>
                <w:color w:val="auto"/>
                <w:sz w:val="21"/>
                <w:szCs w:val="22"/>
              </w:rPr>
              <w:t>运维人员访问被审计数据库时不必再输入从帐号和密码</w:t>
            </w:r>
            <w:r>
              <w:rPr>
                <w:rFonts w:hint="eastAsia" w:ascii="宋体" w:hAnsi="宋体" w:eastAsia="宋体"/>
                <w:b/>
                <w:bCs/>
                <w:color w:val="auto"/>
              </w:rPr>
              <w:t>（响应文件中需提供加盖制造商公章的能够体现上述功能的配置截图的扫描件或复印件）</w:t>
            </w:r>
          </w:p>
          <w:p w14:paraId="55A2F4BD">
            <w:pPr>
              <w:rPr>
                <w:rFonts w:hint="eastAsia" w:ascii="宋体" w:hAnsi="宋体" w:eastAsia="宋体"/>
                <w:b/>
                <w:bCs/>
                <w:color w:val="auto"/>
              </w:rPr>
            </w:pPr>
            <w:r>
              <w:rPr>
                <w:rFonts w:hint="eastAsia" w:ascii="宋体" w:hAnsi="宋体" w:eastAsia="宋体"/>
                <w:color w:val="auto"/>
                <w:sz w:val="21"/>
                <w:szCs w:val="22"/>
              </w:rPr>
              <w:t>支持根据策略进行命令阻断和会话中断。</w:t>
            </w:r>
            <w:r>
              <w:rPr>
                <w:rFonts w:hint="eastAsia" w:ascii="宋体" w:hAnsi="宋体" w:eastAsia="宋体"/>
                <w:b/>
                <w:bCs/>
                <w:color w:val="auto"/>
              </w:rPr>
              <w:t>（响应文件中需提供加盖制造商公章的能够体现上述功能的配置截图的扫描件或复印件）</w:t>
            </w:r>
          </w:p>
          <w:p w14:paraId="0402F426">
            <w:pPr>
              <w:rPr>
                <w:rFonts w:hint="default" w:ascii="宋体" w:hAnsi="宋体" w:cs="宋体"/>
                <w:color w:val="auto"/>
                <w:szCs w:val="21"/>
                <w:highlight w:val="none"/>
                <w:lang w:val="en-US" w:eastAsia="zh-CN"/>
              </w:rPr>
            </w:pPr>
            <w:r>
              <w:rPr>
                <w:rFonts w:hint="eastAsia" w:ascii="宋体" w:hAnsi="宋体" w:eastAsia="宋体"/>
                <w:color w:val="auto"/>
              </w:rPr>
              <w:t>14、</w:t>
            </w:r>
            <w:r>
              <w:rPr>
                <w:rFonts w:hint="eastAsia" w:ascii="宋体" w:hAnsi="宋体" w:eastAsia="宋体"/>
                <w:b/>
                <w:bCs/>
                <w:color w:val="auto"/>
              </w:rPr>
              <w:t>响应文件中</w:t>
            </w:r>
            <w:r>
              <w:rPr>
                <w:rFonts w:hint="eastAsia" w:ascii="宋体" w:hAnsi="宋体" w:eastAsia="宋体"/>
                <w:b/>
                <w:bCs/>
                <w:color w:val="auto"/>
                <w:lang w:val="en-US" w:eastAsia="zh-CN"/>
              </w:rPr>
              <w:t>需提供</w:t>
            </w:r>
            <w:r>
              <w:rPr>
                <w:rFonts w:hint="eastAsia" w:ascii="宋体" w:hAnsi="宋体" w:eastAsia="宋体"/>
                <w:b/>
                <w:bCs/>
                <w:color w:val="auto"/>
              </w:rPr>
              <w:t>《计算机信息系统安全专用产品销售许可证》或《网络安全专用产品认证证书》证书</w:t>
            </w:r>
            <w:r>
              <w:rPr>
                <w:rFonts w:hint="eastAsia" w:ascii="宋体" w:hAnsi="宋体" w:eastAsia="宋体" w:cs="宋体"/>
                <w:b/>
                <w:bCs/>
                <w:color w:val="auto"/>
                <w:sz w:val="21"/>
                <w:szCs w:val="21"/>
                <w:highlight w:val="none"/>
                <w:lang w:val="en-US" w:eastAsia="zh-CN"/>
              </w:rPr>
              <w:t>扫描件或</w:t>
            </w:r>
            <w:r>
              <w:rPr>
                <w:rFonts w:hint="eastAsia" w:ascii="宋体" w:hAnsi="宋体" w:eastAsia="宋体" w:cs="宋体"/>
                <w:b/>
                <w:bCs/>
                <w:color w:val="auto"/>
                <w:sz w:val="21"/>
                <w:szCs w:val="21"/>
                <w:highlight w:val="none"/>
              </w:rPr>
              <w:t>复印件</w:t>
            </w:r>
            <w:r>
              <w:rPr>
                <w:rFonts w:ascii="宋体" w:hAnsi="宋体" w:eastAsia="宋体"/>
                <w:b/>
                <w:bCs/>
                <w:color w:val="auto"/>
              </w:rPr>
              <w:t>并加盖制造商公章</w:t>
            </w:r>
            <w:r>
              <w:rPr>
                <w:rFonts w:hint="eastAsia" w:ascii="宋体" w:hAnsi="宋体" w:eastAsia="宋体"/>
                <w:color w:val="auto"/>
              </w:rPr>
              <w:t>。</w:t>
            </w:r>
          </w:p>
        </w:tc>
        <w:tc>
          <w:tcPr>
            <w:tcW w:w="756" w:type="dxa"/>
            <w:tcBorders>
              <w:top w:val="single" w:color="auto" w:sz="4" w:space="0"/>
              <w:left w:val="single" w:color="auto" w:sz="4" w:space="0"/>
              <w:bottom w:val="single" w:color="auto" w:sz="4" w:space="0"/>
              <w:right w:val="single" w:color="auto" w:sz="4" w:space="0"/>
            </w:tcBorders>
            <w:noWrap w:val="0"/>
            <w:vAlign w:val="center"/>
          </w:tcPr>
          <w:p w14:paraId="7D1FB73E">
            <w:pPr>
              <w:widowControl/>
              <w:spacing w:before="100" w:beforeLines="0" w:beforeAutospacing="1" w:after="100" w:afterLines="0" w:afterAutospacing="1"/>
              <w:jc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eastAsia="zh-CN"/>
              </w:rPr>
              <w:t>台</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3182C0A0">
            <w:pPr>
              <w:widowControl/>
              <w:spacing w:before="100" w:beforeLines="0" w:beforeAutospacing="1" w:after="100" w:afterLines="0" w:afterAutospacing="1"/>
              <w:jc w:val="center"/>
              <w:rPr>
                <w:rFonts w:hint="eastAsia" w:ascii="宋体" w:hAnsi="宋体" w:eastAsia="宋体" w:cs="宋体"/>
                <w:bCs/>
                <w:color w:val="auto"/>
                <w:kern w:val="0"/>
                <w:sz w:val="24"/>
                <w:szCs w:val="21"/>
                <w:highlight w:val="none"/>
                <w:lang w:val="en-US" w:eastAsia="zh-CN"/>
              </w:rPr>
            </w:pPr>
            <w:r>
              <w:rPr>
                <w:rFonts w:hint="eastAsia" w:ascii="宋体" w:hAnsi="宋体" w:cs="宋体"/>
                <w:bCs/>
                <w:color w:val="auto"/>
                <w:kern w:val="0"/>
                <w:sz w:val="24"/>
                <w:szCs w:val="21"/>
                <w:highlight w:val="none"/>
                <w:lang w:val="en-US" w:eastAsia="zh-CN"/>
              </w:rPr>
              <w:t>1</w:t>
            </w:r>
          </w:p>
        </w:tc>
        <w:tc>
          <w:tcPr>
            <w:tcW w:w="945" w:type="dxa"/>
            <w:tcBorders>
              <w:top w:val="single" w:color="auto" w:sz="4" w:space="0"/>
              <w:left w:val="single" w:color="auto" w:sz="4" w:space="0"/>
              <w:bottom w:val="single" w:color="auto" w:sz="4" w:space="0"/>
              <w:right w:val="single" w:color="auto" w:sz="4" w:space="0"/>
            </w:tcBorders>
            <w:noWrap w:val="0"/>
            <w:vAlign w:val="center"/>
          </w:tcPr>
          <w:p w14:paraId="69D8F6FF">
            <w:pPr>
              <w:widowControl/>
              <w:spacing w:before="100" w:beforeLines="0" w:beforeAutospacing="1" w:after="100" w:afterLines="0" w:afterAutospacing="1"/>
              <w:jc w:val="center"/>
              <w:rPr>
                <w:rFonts w:ascii="宋体" w:hAnsi="宋体" w:cs="宋体"/>
                <w:bCs/>
                <w:color w:val="auto"/>
                <w:kern w:val="0"/>
                <w:sz w:val="24"/>
                <w:szCs w:val="21"/>
                <w:highlight w:val="none"/>
              </w:rPr>
            </w:pPr>
            <w:r>
              <w:rPr>
                <w:rFonts w:hint="eastAsia" w:ascii="宋体" w:hAnsi="宋体" w:cs="宋体"/>
                <w:bCs/>
                <w:color w:val="auto"/>
                <w:kern w:val="0"/>
                <w:sz w:val="24"/>
                <w:szCs w:val="21"/>
                <w:highlight w:val="none"/>
                <w:lang w:val="en-US" w:eastAsia="zh-CN"/>
              </w:rPr>
              <w:t>软件和信息技术服务业</w:t>
            </w:r>
          </w:p>
        </w:tc>
      </w:tr>
      <w:bookmarkEnd w:id="1"/>
      <w:bookmarkEnd w:id="2"/>
      <w:bookmarkEnd w:id="3"/>
    </w:tbl>
    <w:p w14:paraId="4669CB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37CCD242"/>
    <w:multiLevelType w:val="singleLevel"/>
    <w:tmpl w:val="37CCD2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4D33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0"/>
    <w:pPr>
      <w:ind w:firstLine="405" w:firstLineChars="193"/>
    </w:pPr>
    <w:rPr>
      <w:rFonts w:ascii="宋体" w:hAnsi="宋体"/>
    </w:rPr>
  </w:style>
  <w:style w:type="paragraph" w:styleId="4">
    <w:name w:val="Body Text Indent"/>
    <w:basedOn w:val="1"/>
    <w:uiPriority w:val="0"/>
  </w:style>
  <w:style w:type="paragraph" w:styleId="5">
    <w:name w:val="Body Text First Indent 2"/>
    <w:basedOn w:val="4"/>
    <w:next w:val="1"/>
    <w:uiPriority w:val="0"/>
    <w:pPr>
      <w:numPr>
        <w:ilvl w:val="0"/>
        <w:numId w:val="0"/>
      </w:numPr>
      <w:spacing w:after="120" w:afterLines="0"/>
    </w:pPr>
  </w:style>
  <w:style w:type="paragraph" w:customStyle="1" w:styleId="8">
    <w:name w:val="正文缩近"/>
    <w:basedOn w:val="1"/>
    <w:qFormat/>
    <w:uiPriority w:val="0"/>
    <w:pPr>
      <w:spacing w:line="360" w:lineRule="auto"/>
      <w:ind w:firstLine="200" w:firstLineChars="200"/>
    </w:pPr>
    <w:rPr>
      <w:rFonts w:ascii="Times New Roman" w:hAnsi="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2025-05-30T08:50:48Z</dcterms:created>
  <dc:creator>Administrator</dc:creator>
  <cp:lastModifiedBy>Administrator</cp:lastModifiedBy>
  <dcterms:modified xsi:type="dcterms:W3CDTF">2025-05-30T08:51:59Z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eyJoZGlkIjoiNGY1YmM0ZjQwMmQzMmZiZjIzOWRiMTBkOWY2MTQzODgiLCJ1c2VySWQiOiIyNDg4NTUwNTUifQ==</vt:lpwstr>
  </property>
  <property fmtid="{D5CDD505-2E9C-101B-9397-08002B2CF9AE}" pid="4" name="ICV">
    <vt:lpwstr>7617ECD4775846D6A9132593F7611789_12</vt:lpwstr>
  </property>
</Properties>
</file>