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44BE51">
      <w:pPr>
        <w:pStyle w:val="2"/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9" w:lineRule="auto"/>
        <w:jc w:val="center"/>
        <w:textAlignment w:val="auto"/>
        <w:rPr>
          <w:rFonts w:hint="eastAsia" w:ascii="宋体" w:hAnsi="宋体" w:eastAsia="宋体" w:cs="宋体"/>
          <w:sz w:val="32"/>
          <w:szCs w:val="32"/>
        </w:rPr>
      </w:pPr>
      <w:bookmarkStart w:id="0" w:name="_Toc22595"/>
      <w:bookmarkStart w:id="1" w:name="_Toc11090"/>
      <w:r>
        <w:rPr>
          <w:rFonts w:hint="eastAsia" w:ascii="宋体" w:hAnsi="宋体" w:eastAsia="宋体" w:cs="宋体"/>
          <w:sz w:val="32"/>
          <w:szCs w:val="32"/>
        </w:rPr>
        <w:t>第四章</w:t>
      </w:r>
      <w:bookmarkEnd w:id="0"/>
      <w:r>
        <w:rPr>
          <w:rFonts w:hint="eastAsia" w:ascii="宋体" w:hAnsi="宋体" w:eastAsia="宋体" w:cs="宋体"/>
          <w:sz w:val="32"/>
          <w:szCs w:val="32"/>
        </w:rPr>
        <w:t xml:space="preserve">  采购需求</w:t>
      </w:r>
      <w:bookmarkEnd w:id="1"/>
    </w:p>
    <w:p w14:paraId="6AD8C548">
      <w:pPr>
        <w:widowControl/>
        <w:adjustRightInd w:val="0"/>
        <w:spacing w:line="360" w:lineRule="auto"/>
        <w:rPr>
          <w:rFonts w:hint="eastAsia" w:ascii="宋体" w:hAnsi="宋体" w:eastAsia="宋体" w:cs="宋体"/>
          <w:b/>
          <w:kern w:val="0"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一、</w:t>
      </w:r>
      <w:r>
        <w:rPr>
          <w:rFonts w:hint="eastAsia" w:ascii="宋体" w:hAnsi="宋体" w:eastAsia="宋体" w:cs="宋体"/>
          <w:b/>
          <w:kern w:val="0"/>
          <w:sz w:val="21"/>
          <w:szCs w:val="21"/>
        </w:rPr>
        <w:t>相关说明</w:t>
      </w:r>
    </w:p>
    <w:p w14:paraId="19FFDB74">
      <w:pPr>
        <w:widowControl/>
        <w:numPr>
          <w:ilvl w:val="2"/>
          <w:numId w:val="1"/>
        </w:numPr>
        <w:adjustRightInd w:val="0"/>
        <w:spacing w:line="360" w:lineRule="auto"/>
        <w:ind w:firstLine="420" w:firstLineChars="200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本次采购内容如果要求的某些技术标准低于国家标准，均以最新的国家标准为准。</w:t>
      </w:r>
      <w:r>
        <w:rPr>
          <w:rFonts w:hint="eastAsia" w:ascii="宋体" w:hAnsi="宋体" w:eastAsia="宋体" w:cs="宋体"/>
          <w:kern w:val="0"/>
          <w:sz w:val="21"/>
          <w:szCs w:val="21"/>
          <w:lang w:eastAsia="zh-CN"/>
        </w:rPr>
        <w:t>采购</w:t>
      </w:r>
      <w:r>
        <w:rPr>
          <w:rFonts w:hint="eastAsia" w:ascii="宋体" w:hAnsi="宋体" w:eastAsia="宋体" w:cs="宋体"/>
          <w:kern w:val="0"/>
          <w:sz w:val="21"/>
          <w:szCs w:val="21"/>
        </w:rPr>
        <w:t>技术要求中未明确的技术标准也均不得低于国家标准；</w:t>
      </w:r>
    </w:p>
    <w:p w14:paraId="78D252BB">
      <w:pPr>
        <w:keepNext w:val="0"/>
        <w:keepLines w:val="0"/>
        <w:pageBreakBefore w:val="0"/>
        <w:widowControl/>
        <w:numPr>
          <w:ilvl w:val="2"/>
          <w:numId w:val="1"/>
        </w:numPr>
        <w:wordWrap/>
        <w:overflowPunct/>
        <w:topLinePunct w:val="0"/>
        <w:bidi w:val="0"/>
        <w:adjustRightInd w:val="0"/>
        <w:spacing w:line="440" w:lineRule="exact"/>
        <w:ind w:firstLine="420" w:firstLineChars="200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本采购项目为交钥匙项目，验收合格前所需的一切费用均包含在报价之中，采购人不承担成交价格以外的任何费用。</w:t>
      </w:r>
    </w:p>
    <w:p w14:paraId="3A64B1AC">
      <w:pPr>
        <w:keepNext w:val="0"/>
        <w:keepLines w:val="0"/>
        <w:pageBreakBefore w:val="0"/>
        <w:wordWrap/>
        <w:overflowPunct/>
        <w:topLinePunct w:val="0"/>
        <w:bidi w:val="0"/>
        <w:spacing w:line="440" w:lineRule="exact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  <w:lang w:val="en-US" w:eastAsia="zh-CN"/>
        </w:rPr>
        <w:t>二、</w:t>
      </w:r>
      <w:r>
        <w:rPr>
          <w:rFonts w:hint="eastAsia" w:ascii="宋体" w:hAnsi="宋体" w:eastAsia="宋体" w:cs="宋体"/>
          <w:b/>
          <w:sz w:val="21"/>
          <w:szCs w:val="21"/>
        </w:rPr>
        <w:t>商务要求</w:t>
      </w:r>
    </w:p>
    <w:p w14:paraId="2C995099">
      <w:pPr>
        <w:keepNext w:val="0"/>
        <w:keepLines w:val="0"/>
        <w:pageBreakBefore w:val="0"/>
        <w:numPr>
          <w:ilvl w:val="2"/>
          <w:numId w:val="0"/>
        </w:numPr>
        <w:wordWrap/>
        <w:overflowPunct/>
        <w:topLinePunct w:val="0"/>
        <w:bidi w:val="0"/>
        <w:spacing w:line="440" w:lineRule="exact"/>
        <w:ind w:left="0" w:leftChars="0" w:firstLine="420" w:firstLineChars="20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1.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合同履行期限：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一年； </w:t>
      </w:r>
    </w:p>
    <w:p w14:paraId="6E1ED5D6">
      <w:pPr>
        <w:keepNext w:val="0"/>
        <w:keepLines w:val="0"/>
        <w:pageBreakBefore w:val="0"/>
        <w:numPr>
          <w:ilvl w:val="2"/>
          <w:numId w:val="0"/>
        </w:numPr>
        <w:wordWrap/>
        <w:overflowPunct/>
        <w:topLinePunct w:val="0"/>
        <w:bidi w:val="0"/>
        <w:spacing w:line="440" w:lineRule="exact"/>
        <w:ind w:left="0" w:leftChars="0" w:firstLine="420" w:firstLineChars="20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2.服务地点：武陟县区域内；</w:t>
      </w:r>
    </w:p>
    <w:p w14:paraId="2090A67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textAlignment w:val="baseline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3.服务标准：符合国家及行业相关技术合格标准；</w:t>
      </w:r>
    </w:p>
    <w:p w14:paraId="5FBC56C4">
      <w:pPr>
        <w:keepNext w:val="0"/>
        <w:keepLines w:val="0"/>
        <w:pageBreakBefore w:val="0"/>
        <w:numPr>
          <w:ilvl w:val="2"/>
          <w:numId w:val="0"/>
        </w:numPr>
        <w:wordWrap/>
        <w:overflowPunct/>
        <w:topLinePunct w:val="0"/>
        <w:bidi w:val="0"/>
        <w:spacing w:line="440" w:lineRule="exact"/>
        <w:ind w:left="0" w:leftChars="0"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4.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付款方式：合同生效之日起三个月内支付到账。</w:t>
      </w:r>
    </w:p>
    <w:p w14:paraId="4521B295">
      <w:pPr>
        <w:pStyle w:val="5"/>
        <w:keepNext w:val="0"/>
        <w:keepLines w:val="0"/>
        <w:pageBreakBefore w:val="0"/>
        <w:wordWrap/>
        <w:overflowPunct/>
        <w:topLinePunct w:val="0"/>
        <w:bidi w:val="0"/>
        <w:spacing w:after="0" w:afterLines="0" w:line="440" w:lineRule="exact"/>
        <w:rPr>
          <w:rFonts w:hint="eastAsia" w:ascii="宋体" w:hAnsi="宋体" w:eastAsia="宋体" w:cs="宋体"/>
          <w:b/>
          <w:bCs/>
          <w:kern w:val="0"/>
          <w:sz w:val="21"/>
          <w:szCs w:val="21"/>
          <w:lang w:eastAsia="zh-CN" w:bidi="ar"/>
        </w:rPr>
      </w:pP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kern w:val="0"/>
          <w:sz w:val="21"/>
          <w:szCs w:val="21"/>
          <w:lang w:eastAsia="zh-CN" w:bidi="ar"/>
        </w:rPr>
        <w:t>三、</w:t>
      </w:r>
      <w:r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  <w:t>服务</w:t>
      </w:r>
      <w:r>
        <w:rPr>
          <w:rFonts w:hint="eastAsia" w:ascii="宋体" w:hAnsi="宋体" w:eastAsia="宋体" w:cs="宋体"/>
          <w:b/>
          <w:bCs/>
          <w:kern w:val="0"/>
          <w:sz w:val="21"/>
          <w:szCs w:val="21"/>
          <w:lang w:eastAsia="zh-CN" w:bidi="ar"/>
        </w:rPr>
        <w:t>要求：</w:t>
      </w:r>
    </w:p>
    <w:p w14:paraId="02FF91B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（一）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民警（职工）保险项目和标准：（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保险数量：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410人（参保人数以实有人数为准）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）</w:t>
      </w:r>
    </w:p>
    <w:tbl>
      <w:tblPr>
        <w:tblStyle w:val="7"/>
        <w:tblW w:w="86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4950"/>
        <w:gridCol w:w="974"/>
        <w:gridCol w:w="900"/>
        <w:gridCol w:w="1080"/>
      </w:tblGrid>
      <w:tr w14:paraId="06C90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715" w:type="dxa"/>
            <w:noWrap w:val="0"/>
            <w:vAlign w:val="center"/>
          </w:tcPr>
          <w:p w14:paraId="57BF440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序号</w:t>
            </w:r>
          </w:p>
        </w:tc>
        <w:tc>
          <w:tcPr>
            <w:tcW w:w="4950" w:type="dxa"/>
            <w:noWrap w:val="0"/>
            <w:vAlign w:val="center"/>
          </w:tcPr>
          <w:p w14:paraId="3641C01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保险项目和标准</w:t>
            </w:r>
          </w:p>
        </w:tc>
        <w:tc>
          <w:tcPr>
            <w:tcW w:w="974" w:type="dxa"/>
            <w:noWrap w:val="0"/>
            <w:vAlign w:val="center"/>
          </w:tcPr>
          <w:p w14:paraId="0593024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数量</w:t>
            </w:r>
          </w:p>
        </w:tc>
        <w:tc>
          <w:tcPr>
            <w:tcW w:w="900" w:type="dxa"/>
            <w:noWrap w:val="0"/>
            <w:vAlign w:val="center"/>
          </w:tcPr>
          <w:p w14:paraId="54F09C6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单位</w:t>
            </w:r>
          </w:p>
        </w:tc>
        <w:tc>
          <w:tcPr>
            <w:tcW w:w="1080" w:type="dxa"/>
            <w:noWrap w:val="0"/>
            <w:vAlign w:val="center"/>
          </w:tcPr>
          <w:p w14:paraId="4902430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保险期限</w:t>
            </w:r>
          </w:p>
        </w:tc>
      </w:tr>
      <w:tr w14:paraId="1BD80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715" w:type="dxa"/>
            <w:noWrap w:val="0"/>
            <w:vAlign w:val="center"/>
          </w:tcPr>
          <w:p w14:paraId="256EC74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4950" w:type="dxa"/>
            <w:noWrap w:val="0"/>
            <w:vAlign w:val="center"/>
          </w:tcPr>
          <w:p w14:paraId="122E150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意外身故险，每人保险金额20万元；</w:t>
            </w:r>
          </w:p>
        </w:tc>
        <w:tc>
          <w:tcPr>
            <w:tcW w:w="974" w:type="dxa"/>
            <w:vMerge w:val="restart"/>
            <w:noWrap w:val="0"/>
            <w:vAlign w:val="center"/>
          </w:tcPr>
          <w:p w14:paraId="768F3C8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900" w:type="dxa"/>
            <w:vMerge w:val="restart"/>
            <w:noWrap w:val="0"/>
            <w:vAlign w:val="center"/>
          </w:tcPr>
          <w:p w14:paraId="3B1A113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份</w:t>
            </w:r>
          </w:p>
        </w:tc>
        <w:tc>
          <w:tcPr>
            <w:tcW w:w="1080" w:type="dxa"/>
            <w:vMerge w:val="restart"/>
            <w:noWrap w:val="0"/>
            <w:vAlign w:val="center"/>
          </w:tcPr>
          <w:p w14:paraId="23452DB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1年</w:t>
            </w:r>
          </w:p>
        </w:tc>
      </w:tr>
      <w:tr w14:paraId="1FFBF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noWrap w:val="0"/>
            <w:vAlign w:val="center"/>
          </w:tcPr>
          <w:p w14:paraId="787E1A3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4950" w:type="dxa"/>
            <w:noWrap w:val="0"/>
            <w:vAlign w:val="center"/>
          </w:tcPr>
          <w:p w14:paraId="38A1CE7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意外残疾保险，区分伤残等级，最高保险金额20万元（1-10级分级赔付）；</w:t>
            </w:r>
          </w:p>
        </w:tc>
        <w:tc>
          <w:tcPr>
            <w:tcW w:w="974" w:type="dxa"/>
            <w:vMerge w:val="continue"/>
            <w:noWrap w:val="0"/>
            <w:vAlign w:val="center"/>
          </w:tcPr>
          <w:p w14:paraId="371F418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 w14:paraId="7654762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5A72C90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64D03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noWrap w:val="0"/>
            <w:vAlign w:val="center"/>
          </w:tcPr>
          <w:p w14:paraId="53B96DF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4950" w:type="dxa"/>
            <w:noWrap w:val="0"/>
            <w:vAlign w:val="center"/>
          </w:tcPr>
          <w:p w14:paraId="56C5530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意外医疗费用补偿，每人医疗保险范围内保险限额2万元，每人每次事故绝对免赔额100元，超出部分符合当地社保医疗支付范围内给付比例为100%；</w:t>
            </w:r>
          </w:p>
        </w:tc>
        <w:tc>
          <w:tcPr>
            <w:tcW w:w="974" w:type="dxa"/>
            <w:vMerge w:val="continue"/>
            <w:noWrap w:val="0"/>
            <w:vAlign w:val="center"/>
          </w:tcPr>
          <w:p w14:paraId="79E282D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 w14:paraId="11DF5F7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006E914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1091C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noWrap w:val="0"/>
            <w:vAlign w:val="center"/>
          </w:tcPr>
          <w:p w14:paraId="6C70FF0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4950" w:type="dxa"/>
            <w:noWrap w:val="0"/>
            <w:vAlign w:val="center"/>
          </w:tcPr>
          <w:p w14:paraId="10BFA93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疾病（含既往病史和家族病史，下同）身故险，每人保险限额 10万元；</w:t>
            </w:r>
          </w:p>
        </w:tc>
        <w:tc>
          <w:tcPr>
            <w:tcW w:w="974" w:type="dxa"/>
            <w:vMerge w:val="continue"/>
            <w:noWrap w:val="0"/>
            <w:vAlign w:val="center"/>
          </w:tcPr>
          <w:p w14:paraId="7742B59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 w14:paraId="3F0E331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080001B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13E9B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noWrap w:val="0"/>
            <w:vAlign w:val="center"/>
          </w:tcPr>
          <w:p w14:paraId="2B08D09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5</w:t>
            </w:r>
          </w:p>
        </w:tc>
        <w:tc>
          <w:tcPr>
            <w:tcW w:w="4950" w:type="dxa"/>
            <w:noWrap w:val="0"/>
            <w:vAlign w:val="center"/>
          </w:tcPr>
          <w:p w14:paraId="659F8F2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疾病住院医疗补偿，每人医疗保险范围内保险限额2万元，每人每次事故绝对免赔额100元，超出部分符合当地社保医疗支付范围内给付比例为 100%；</w:t>
            </w:r>
          </w:p>
        </w:tc>
        <w:tc>
          <w:tcPr>
            <w:tcW w:w="974" w:type="dxa"/>
            <w:vMerge w:val="continue"/>
            <w:noWrap w:val="0"/>
            <w:vAlign w:val="center"/>
          </w:tcPr>
          <w:p w14:paraId="49E7A94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 w14:paraId="69CC61F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547FBC6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2E48B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noWrap w:val="0"/>
            <w:vAlign w:val="center"/>
          </w:tcPr>
          <w:p w14:paraId="2D38064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6</w:t>
            </w:r>
          </w:p>
        </w:tc>
        <w:tc>
          <w:tcPr>
            <w:tcW w:w="4950" w:type="dxa"/>
            <w:noWrap w:val="0"/>
            <w:vAlign w:val="center"/>
          </w:tcPr>
          <w:p w14:paraId="6D42C45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意外住院津贴，津贴给付标准100元/日，每次最高给付津贴90日，累计最高给付津贴180日；</w:t>
            </w:r>
          </w:p>
        </w:tc>
        <w:tc>
          <w:tcPr>
            <w:tcW w:w="974" w:type="dxa"/>
            <w:vMerge w:val="continue"/>
            <w:noWrap w:val="0"/>
            <w:vAlign w:val="center"/>
          </w:tcPr>
          <w:p w14:paraId="6C7323D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 w14:paraId="24D3389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7F350F2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027F9A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715" w:type="dxa"/>
            <w:noWrap w:val="0"/>
            <w:vAlign w:val="center"/>
          </w:tcPr>
          <w:p w14:paraId="358BB0D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  <w:t>7</w:t>
            </w:r>
          </w:p>
        </w:tc>
        <w:tc>
          <w:tcPr>
            <w:tcW w:w="4950" w:type="dxa"/>
            <w:noWrap w:val="0"/>
            <w:vAlign w:val="center"/>
          </w:tcPr>
          <w:p w14:paraId="39E6A26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 xml:space="preserve">重大疾病保险，保险金额2万元，最低承保28种； </w:t>
            </w:r>
          </w:p>
        </w:tc>
        <w:tc>
          <w:tcPr>
            <w:tcW w:w="974" w:type="dxa"/>
            <w:vMerge w:val="continue"/>
            <w:noWrap w:val="0"/>
            <w:vAlign w:val="center"/>
          </w:tcPr>
          <w:p w14:paraId="5A3315A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 w14:paraId="5F07864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2AB0D59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</w:tbl>
    <w:p w14:paraId="361276E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（二）辅警保险项目和标准：（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保险数量：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993人（参保人数以实有人数为准）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）</w:t>
      </w:r>
    </w:p>
    <w:tbl>
      <w:tblPr>
        <w:tblStyle w:val="7"/>
        <w:tblW w:w="86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4950"/>
        <w:gridCol w:w="974"/>
        <w:gridCol w:w="870"/>
        <w:gridCol w:w="1125"/>
      </w:tblGrid>
      <w:tr w14:paraId="00A6F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715" w:type="dxa"/>
            <w:noWrap w:val="0"/>
            <w:vAlign w:val="center"/>
          </w:tcPr>
          <w:p w14:paraId="2E3EC28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序号</w:t>
            </w:r>
          </w:p>
        </w:tc>
        <w:tc>
          <w:tcPr>
            <w:tcW w:w="4950" w:type="dxa"/>
            <w:noWrap w:val="0"/>
            <w:vAlign w:val="center"/>
          </w:tcPr>
          <w:p w14:paraId="34E9156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保险项目和标准</w:t>
            </w:r>
          </w:p>
        </w:tc>
        <w:tc>
          <w:tcPr>
            <w:tcW w:w="974" w:type="dxa"/>
            <w:noWrap w:val="0"/>
            <w:vAlign w:val="center"/>
          </w:tcPr>
          <w:p w14:paraId="2B9CB9E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数量</w:t>
            </w:r>
          </w:p>
        </w:tc>
        <w:tc>
          <w:tcPr>
            <w:tcW w:w="870" w:type="dxa"/>
            <w:noWrap w:val="0"/>
            <w:vAlign w:val="center"/>
          </w:tcPr>
          <w:p w14:paraId="56A5E88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单位</w:t>
            </w:r>
          </w:p>
        </w:tc>
        <w:tc>
          <w:tcPr>
            <w:tcW w:w="1125" w:type="dxa"/>
            <w:noWrap w:val="0"/>
            <w:vAlign w:val="center"/>
          </w:tcPr>
          <w:p w14:paraId="5C64971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保险期限</w:t>
            </w:r>
          </w:p>
        </w:tc>
      </w:tr>
      <w:tr w14:paraId="3F5B0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715" w:type="dxa"/>
            <w:noWrap w:val="0"/>
            <w:vAlign w:val="center"/>
          </w:tcPr>
          <w:p w14:paraId="0CAA681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4950" w:type="dxa"/>
            <w:noWrap w:val="0"/>
            <w:vAlign w:val="center"/>
          </w:tcPr>
          <w:p w14:paraId="26AFAAF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意外身故险，每人保险金额20万元；</w:t>
            </w:r>
          </w:p>
        </w:tc>
        <w:tc>
          <w:tcPr>
            <w:tcW w:w="974" w:type="dxa"/>
            <w:vMerge w:val="restart"/>
            <w:noWrap w:val="0"/>
            <w:vAlign w:val="center"/>
          </w:tcPr>
          <w:p w14:paraId="24C6FCD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993</w:t>
            </w:r>
          </w:p>
        </w:tc>
        <w:tc>
          <w:tcPr>
            <w:tcW w:w="870" w:type="dxa"/>
            <w:vMerge w:val="restart"/>
            <w:noWrap w:val="0"/>
            <w:vAlign w:val="center"/>
          </w:tcPr>
          <w:p w14:paraId="5AED575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份</w:t>
            </w:r>
          </w:p>
        </w:tc>
        <w:tc>
          <w:tcPr>
            <w:tcW w:w="1125" w:type="dxa"/>
            <w:vMerge w:val="restart"/>
            <w:noWrap w:val="0"/>
            <w:vAlign w:val="center"/>
          </w:tcPr>
          <w:p w14:paraId="2149D70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1年</w:t>
            </w:r>
          </w:p>
        </w:tc>
      </w:tr>
      <w:tr w14:paraId="1D743B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noWrap w:val="0"/>
            <w:vAlign w:val="center"/>
          </w:tcPr>
          <w:p w14:paraId="71E11BE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4950" w:type="dxa"/>
            <w:noWrap w:val="0"/>
            <w:vAlign w:val="center"/>
          </w:tcPr>
          <w:p w14:paraId="264466F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意外残疾保险，区分伤残等级，最高保险金额20万元（1-10级分级赔付）；</w:t>
            </w:r>
          </w:p>
        </w:tc>
        <w:tc>
          <w:tcPr>
            <w:tcW w:w="974" w:type="dxa"/>
            <w:vMerge w:val="continue"/>
            <w:noWrap w:val="0"/>
            <w:vAlign w:val="center"/>
          </w:tcPr>
          <w:p w14:paraId="5281E5F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870" w:type="dxa"/>
            <w:vMerge w:val="continue"/>
            <w:noWrap w:val="0"/>
            <w:vAlign w:val="center"/>
          </w:tcPr>
          <w:p w14:paraId="41782DF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125" w:type="dxa"/>
            <w:vMerge w:val="continue"/>
            <w:noWrap w:val="0"/>
            <w:vAlign w:val="center"/>
          </w:tcPr>
          <w:p w14:paraId="47C92EF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0D2B5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noWrap w:val="0"/>
            <w:vAlign w:val="center"/>
          </w:tcPr>
          <w:p w14:paraId="41082F3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4950" w:type="dxa"/>
            <w:noWrap w:val="0"/>
            <w:vAlign w:val="center"/>
          </w:tcPr>
          <w:p w14:paraId="32DEB82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意外医疗费用补偿，每人医疗保险范围内保险限额2万元，每人每次事故绝对免赔额100元，超出部分符合当地社保医疗支付范围内给付比例为100%；</w:t>
            </w:r>
          </w:p>
        </w:tc>
        <w:tc>
          <w:tcPr>
            <w:tcW w:w="974" w:type="dxa"/>
            <w:vMerge w:val="continue"/>
            <w:noWrap w:val="0"/>
            <w:vAlign w:val="center"/>
          </w:tcPr>
          <w:p w14:paraId="4C4F0A9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870" w:type="dxa"/>
            <w:vMerge w:val="continue"/>
            <w:noWrap w:val="0"/>
            <w:vAlign w:val="center"/>
          </w:tcPr>
          <w:p w14:paraId="6BCA478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125" w:type="dxa"/>
            <w:vMerge w:val="continue"/>
            <w:noWrap w:val="0"/>
            <w:vAlign w:val="center"/>
          </w:tcPr>
          <w:p w14:paraId="2954660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5DCCD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noWrap w:val="0"/>
            <w:vAlign w:val="center"/>
          </w:tcPr>
          <w:p w14:paraId="19BE3B8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4950" w:type="dxa"/>
            <w:noWrap w:val="0"/>
            <w:vAlign w:val="center"/>
          </w:tcPr>
          <w:p w14:paraId="65CF3E4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疾病（含既往病史和家族病史，下同）身故险，每人保险限额 10万元；</w:t>
            </w:r>
          </w:p>
        </w:tc>
        <w:tc>
          <w:tcPr>
            <w:tcW w:w="974" w:type="dxa"/>
            <w:vMerge w:val="continue"/>
            <w:noWrap w:val="0"/>
            <w:vAlign w:val="center"/>
          </w:tcPr>
          <w:p w14:paraId="76E326B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870" w:type="dxa"/>
            <w:vMerge w:val="continue"/>
            <w:noWrap w:val="0"/>
            <w:vAlign w:val="center"/>
          </w:tcPr>
          <w:p w14:paraId="1C9F7C6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125" w:type="dxa"/>
            <w:vMerge w:val="continue"/>
            <w:noWrap w:val="0"/>
            <w:vAlign w:val="center"/>
          </w:tcPr>
          <w:p w14:paraId="58D1F2A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1B14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noWrap w:val="0"/>
            <w:vAlign w:val="center"/>
          </w:tcPr>
          <w:p w14:paraId="583F4E3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5</w:t>
            </w:r>
          </w:p>
        </w:tc>
        <w:tc>
          <w:tcPr>
            <w:tcW w:w="4950" w:type="dxa"/>
            <w:noWrap w:val="0"/>
            <w:vAlign w:val="center"/>
          </w:tcPr>
          <w:p w14:paraId="16BB3A3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疾病住院医疗补偿，每人医疗保险范围内保险限额2万元，每人每次事故绝对免赔额100元，超出部分符合当地社保医疗支付范围内给付比例为 100%；</w:t>
            </w:r>
          </w:p>
        </w:tc>
        <w:tc>
          <w:tcPr>
            <w:tcW w:w="974" w:type="dxa"/>
            <w:vMerge w:val="continue"/>
            <w:noWrap w:val="0"/>
            <w:vAlign w:val="center"/>
          </w:tcPr>
          <w:p w14:paraId="1DE0549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870" w:type="dxa"/>
            <w:vMerge w:val="continue"/>
            <w:noWrap w:val="0"/>
            <w:vAlign w:val="center"/>
          </w:tcPr>
          <w:p w14:paraId="5001B41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125" w:type="dxa"/>
            <w:vMerge w:val="continue"/>
            <w:noWrap w:val="0"/>
            <w:vAlign w:val="center"/>
          </w:tcPr>
          <w:p w14:paraId="28A49C0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21F6D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noWrap w:val="0"/>
            <w:vAlign w:val="center"/>
          </w:tcPr>
          <w:p w14:paraId="28852FF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6</w:t>
            </w:r>
          </w:p>
        </w:tc>
        <w:tc>
          <w:tcPr>
            <w:tcW w:w="4950" w:type="dxa"/>
            <w:noWrap w:val="0"/>
            <w:vAlign w:val="center"/>
          </w:tcPr>
          <w:p w14:paraId="0061C2E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意外住院津贴，津贴给付标准100元/日，每次最高给付津贴90日，累计最高给付津贴180日；</w:t>
            </w:r>
          </w:p>
        </w:tc>
        <w:tc>
          <w:tcPr>
            <w:tcW w:w="974" w:type="dxa"/>
            <w:vMerge w:val="continue"/>
            <w:noWrap w:val="0"/>
            <w:vAlign w:val="center"/>
          </w:tcPr>
          <w:p w14:paraId="7B78EFE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870" w:type="dxa"/>
            <w:vMerge w:val="continue"/>
            <w:noWrap w:val="0"/>
            <w:vAlign w:val="center"/>
          </w:tcPr>
          <w:p w14:paraId="5C169E6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125" w:type="dxa"/>
            <w:vMerge w:val="continue"/>
            <w:noWrap w:val="0"/>
            <w:vAlign w:val="center"/>
          </w:tcPr>
          <w:p w14:paraId="66A6A42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</w:tbl>
    <w:p w14:paraId="2FBA7E7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jc w:val="left"/>
        <w:textAlignment w:val="auto"/>
        <w:rPr>
          <w:rFonts w:hint="eastAsia" w:ascii="宋体" w:hAnsi="宋体" w:eastAsia="宋体" w:cs="宋体"/>
          <w:color w:val="0000FF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（三）退休人员保险项目和标准：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保险数量：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160人（参保人数以实有人数为准）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）</w:t>
      </w:r>
    </w:p>
    <w:tbl>
      <w:tblPr>
        <w:tblStyle w:val="7"/>
        <w:tblW w:w="86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4950"/>
        <w:gridCol w:w="974"/>
        <w:gridCol w:w="941"/>
        <w:gridCol w:w="1084"/>
      </w:tblGrid>
      <w:tr w14:paraId="7DA85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715" w:type="dxa"/>
            <w:noWrap w:val="0"/>
            <w:vAlign w:val="center"/>
          </w:tcPr>
          <w:p w14:paraId="09E99D8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序号</w:t>
            </w:r>
          </w:p>
        </w:tc>
        <w:tc>
          <w:tcPr>
            <w:tcW w:w="4950" w:type="dxa"/>
            <w:noWrap w:val="0"/>
            <w:vAlign w:val="center"/>
          </w:tcPr>
          <w:p w14:paraId="3E6ADAC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保险项目和标准</w:t>
            </w:r>
          </w:p>
        </w:tc>
        <w:tc>
          <w:tcPr>
            <w:tcW w:w="974" w:type="dxa"/>
            <w:noWrap w:val="0"/>
            <w:vAlign w:val="center"/>
          </w:tcPr>
          <w:p w14:paraId="1140B8E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数量</w:t>
            </w:r>
          </w:p>
        </w:tc>
        <w:tc>
          <w:tcPr>
            <w:tcW w:w="941" w:type="dxa"/>
            <w:noWrap w:val="0"/>
            <w:vAlign w:val="center"/>
          </w:tcPr>
          <w:p w14:paraId="0A68A50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单位</w:t>
            </w:r>
          </w:p>
        </w:tc>
        <w:tc>
          <w:tcPr>
            <w:tcW w:w="1084" w:type="dxa"/>
            <w:noWrap w:val="0"/>
            <w:vAlign w:val="center"/>
          </w:tcPr>
          <w:p w14:paraId="087A8F1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保险期限</w:t>
            </w:r>
          </w:p>
        </w:tc>
      </w:tr>
      <w:tr w14:paraId="4C008F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715" w:type="dxa"/>
            <w:noWrap w:val="0"/>
            <w:vAlign w:val="center"/>
          </w:tcPr>
          <w:p w14:paraId="16674E1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4950" w:type="dxa"/>
            <w:noWrap w:val="0"/>
            <w:vAlign w:val="center"/>
          </w:tcPr>
          <w:p w14:paraId="139549C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意外身故保险（非因病，下同）,每人保险金额10万元；</w:t>
            </w:r>
          </w:p>
        </w:tc>
        <w:tc>
          <w:tcPr>
            <w:tcW w:w="974" w:type="dxa"/>
            <w:vMerge w:val="restart"/>
            <w:noWrap w:val="0"/>
            <w:vAlign w:val="center"/>
          </w:tcPr>
          <w:p w14:paraId="26FD323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160</w:t>
            </w:r>
          </w:p>
        </w:tc>
        <w:tc>
          <w:tcPr>
            <w:tcW w:w="941" w:type="dxa"/>
            <w:vMerge w:val="restart"/>
            <w:noWrap w:val="0"/>
            <w:vAlign w:val="center"/>
          </w:tcPr>
          <w:p w14:paraId="3DF2EC8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份</w:t>
            </w:r>
          </w:p>
        </w:tc>
        <w:tc>
          <w:tcPr>
            <w:tcW w:w="1084" w:type="dxa"/>
            <w:vMerge w:val="restart"/>
            <w:noWrap w:val="0"/>
            <w:vAlign w:val="center"/>
          </w:tcPr>
          <w:p w14:paraId="3403E31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1年</w:t>
            </w:r>
          </w:p>
        </w:tc>
      </w:tr>
      <w:tr w14:paraId="4925A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noWrap w:val="0"/>
            <w:vAlign w:val="center"/>
          </w:tcPr>
          <w:p w14:paraId="1CFD98A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4950" w:type="dxa"/>
            <w:noWrap w:val="0"/>
            <w:vAlign w:val="center"/>
          </w:tcPr>
          <w:p w14:paraId="7C5542B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意外残疾保险，每人最高保险金额10万元（1-10级分别赔付）；</w:t>
            </w:r>
          </w:p>
        </w:tc>
        <w:tc>
          <w:tcPr>
            <w:tcW w:w="974" w:type="dxa"/>
            <w:vMerge w:val="continue"/>
            <w:noWrap w:val="0"/>
            <w:vAlign w:val="center"/>
          </w:tcPr>
          <w:p w14:paraId="264B5F6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941" w:type="dxa"/>
            <w:vMerge w:val="continue"/>
            <w:noWrap w:val="0"/>
            <w:vAlign w:val="center"/>
          </w:tcPr>
          <w:p w14:paraId="4D22160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084" w:type="dxa"/>
            <w:vMerge w:val="continue"/>
            <w:noWrap w:val="0"/>
            <w:vAlign w:val="center"/>
          </w:tcPr>
          <w:p w14:paraId="5423888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50D09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noWrap w:val="0"/>
            <w:vAlign w:val="center"/>
          </w:tcPr>
          <w:p w14:paraId="653839C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4950" w:type="dxa"/>
            <w:noWrap w:val="0"/>
            <w:vAlign w:val="center"/>
          </w:tcPr>
          <w:p w14:paraId="1E45EDE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意外医疗费用补偿，医疗保险范围内每人保险限额1万元，给付比例为80%。每人每次事故免赔100元，每人每次事故，急诊限额500元。</w:t>
            </w:r>
          </w:p>
        </w:tc>
        <w:tc>
          <w:tcPr>
            <w:tcW w:w="974" w:type="dxa"/>
            <w:vMerge w:val="continue"/>
            <w:noWrap w:val="0"/>
            <w:vAlign w:val="center"/>
          </w:tcPr>
          <w:p w14:paraId="1CA855B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941" w:type="dxa"/>
            <w:vMerge w:val="continue"/>
            <w:noWrap w:val="0"/>
            <w:vAlign w:val="center"/>
          </w:tcPr>
          <w:p w14:paraId="6EA0247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084" w:type="dxa"/>
            <w:vMerge w:val="continue"/>
            <w:noWrap w:val="0"/>
            <w:vAlign w:val="center"/>
          </w:tcPr>
          <w:p w14:paraId="00AA444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23D277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noWrap w:val="0"/>
            <w:vAlign w:val="center"/>
          </w:tcPr>
          <w:p w14:paraId="15F0879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4950" w:type="dxa"/>
            <w:noWrap w:val="0"/>
            <w:vAlign w:val="center"/>
          </w:tcPr>
          <w:p w14:paraId="508B68F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意外住院津贴，津贴给付标准100元/日，每次最高给付津贴90日，累计最高给付津贴180日；</w:t>
            </w:r>
          </w:p>
        </w:tc>
        <w:tc>
          <w:tcPr>
            <w:tcW w:w="974" w:type="dxa"/>
            <w:vMerge w:val="continue"/>
            <w:noWrap w:val="0"/>
            <w:vAlign w:val="center"/>
          </w:tcPr>
          <w:p w14:paraId="6F26D58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941" w:type="dxa"/>
            <w:vMerge w:val="continue"/>
            <w:noWrap w:val="0"/>
            <w:vAlign w:val="center"/>
          </w:tcPr>
          <w:p w14:paraId="0A64EE0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084" w:type="dxa"/>
            <w:vMerge w:val="continue"/>
            <w:noWrap w:val="0"/>
            <w:vAlign w:val="center"/>
          </w:tcPr>
          <w:p w14:paraId="454BA00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</w:tbl>
    <w:p w14:paraId="76930A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（四）特别约定 </w:t>
      </w:r>
    </w:p>
    <w:p w14:paraId="1F7E0F0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1、家族病、既往病均在本保险范围内赔偿。 </w:t>
      </w:r>
    </w:p>
    <w:p w14:paraId="792DB2E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2、等待期：所有参保人员均没有等待期限制。 </w:t>
      </w:r>
    </w:p>
    <w:p w14:paraId="5B0A9DF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3、起付线：个人住院需支付起付线医疗费用，由保险公司承担，个人不再支付。 </w:t>
      </w:r>
    </w:p>
    <w:p w14:paraId="70D9E40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 w:firstLine="420" w:firstLineChars="200"/>
        <w:jc w:val="left"/>
        <w:textAlignment w:val="auto"/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4、</w:t>
      </w:r>
      <w:r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  <w:t>因存在人员变动因素，按实际参保人数签订合同，据实结算。</w:t>
      </w:r>
    </w:p>
    <w:p w14:paraId="59116D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textAlignment w:val="auto"/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5、人员增加总人数的 15人以内，不再支付增加人员保费。人数增加超出15人的部分，按照合同约定的每人每月单价支付。</w:t>
      </w:r>
    </w:p>
    <w:p w14:paraId="54F97356">
      <w:pPr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  <w:t>四、所属行业：其他未列明行业</w:t>
      </w:r>
    </w:p>
    <w:p w14:paraId="1B4B96A6"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30"/>
    <w:multiLevelType w:val="multilevel"/>
    <w:tmpl w:val="00000030"/>
    <w:lvl w:ilvl="0" w:tentative="0">
      <w:start w:val="1"/>
      <w:numFmt w:val="decimal"/>
      <w:lvlText w:val="%1.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decimal"/>
      <w:suff w:val="nothing"/>
      <w:lvlText w:val="%3.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5D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500" w:beforeLines="0" w:after="500" w:afterLines="0" w:line="578" w:lineRule="auto"/>
      <w:jc w:val="center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next w:val="4"/>
    <w:qFormat/>
    <w:uiPriority w:val="0"/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Body Text First Indent 2"/>
    <w:basedOn w:val="3"/>
    <w:next w:val="1"/>
    <w:qFormat/>
    <w:uiPriority w:val="0"/>
    <w:pPr>
      <w:numPr>
        <w:ilvl w:val="0"/>
        <w:numId w:val="0"/>
      </w:numPr>
      <w:spacing w:after="120" w:afterLines="0"/>
    </w:p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2025-07-14T02:59:33Z</dcterms:created>
  <dc:creator>Administrator</dc:creator>
  <cp:lastModifiedBy></cp:lastModifiedBy>
  <dcterms:modified xsi:type="dcterms:W3CDTF">2025-07-14T03:00:15Z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eyJoZGlkIjoiN2Y4ZjBlZGUwZjJjOTQ1ZmFjN2I1NzQyNjQ1NDQwNDMiLCJ1c2VySWQiOiI2Nzc0MDY3ODUifQ==</vt:lpwstr>
  </property>
  <property fmtid="{D5CDD505-2E9C-101B-9397-08002B2CF9AE}" pid="4" name="ICV">
    <vt:lpwstr>F711BEAFDF78446EAFE98B8FE42E9E0E_12</vt:lpwstr>
  </property>
</Properties>
</file>