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226D858">
      <w:pPr>
        <w:pStyle w:val="5"/>
        <w:spacing w:before="0" w:after="0"/>
        <w:jc w:val="center"/>
        <w:rPr>
          <w:rFonts w:hint="eastAsia" w:ascii="宋体" w:hAnsi="宋体" w:cs="宋体"/>
          <w:sz w:val="32"/>
          <w:szCs w:val="32"/>
        </w:rPr>
      </w:pPr>
      <w:r>
        <w:rPr>
          <w:rFonts w:hint="eastAsia" w:ascii="宋体" w:hAnsi="宋体" w:cs="宋体"/>
          <w:sz w:val="32"/>
          <w:szCs w:val="32"/>
        </w:rPr>
        <w:t>第四章  采购需求</w:t>
      </w:r>
    </w:p>
    <w:p w14:paraId="23049889">
      <w:pPr>
        <w:widowControl/>
        <w:adjustRightInd w:val="0"/>
        <w:spacing w:line="360" w:lineRule="auto"/>
        <w:rPr>
          <w:rFonts w:ascii="宋体" w:hAnsi="宋体"/>
          <w:b/>
          <w:kern w:val="0"/>
          <w:sz w:val="21"/>
          <w:szCs w:val="21"/>
        </w:rPr>
      </w:pPr>
      <w:bookmarkStart w:id="0" w:name="_Toc374512420"/>
      <w:bookmarkStart w:id="1" w:name="_Toc373230032"/>
      <w:bookmarkStart w:id="2" w:name="_Toc4426"/>
      <w:r>
        <w:rPr>
          <w:rFonts w:hint="eastAsia" w:ascii="宋体" w:hAnsi="宋体" w:cs="宋体"/>
          <w:b/>
          <w:sz w:val="21"/>
          <w:szCs w:val="21"/>
        </w:rPr>
        <w:t>一、</w:t>
      </w:r>
      <w:r>
        <w:rPr>
          <w:rFonts w:ascii="宋体" w:hAnsi="宋体"/>
          <w:b/>
          <w:kern w:val="0"/>
          <w:sz w:val="21"/>
          <w:szCs w:val="21"/>
        </w:rPr>
        <w:t>相关说明</w:t>
      </w:r>
    </w:p>
    <w:p w14:paraId="366FD7B5">
      <w:pPr>
        <w:widowControl/>
        <w:numPr>
          <w:ilvl w:val="2"/>
          <w:numId w:val="1"/>
        </w:numPr>
        <w:adjustRightInd w:val="0"/>
        <w:spacing w:line="360" w:lineRule="auto"/>
        <w:ind w:firstLine="420" w:firstLineChars="200"/>
        <w:jc w:val="left"/>
        <w:rPr>
          <w:rFonts w:hint="eastAsia" w:ascii="宋体" w:hAnsi="宋体"/>
          <w:kern w:val="0"/>
          <w:sz w:val="21"/>
          <w:szCs w:val="21"/>
        </w:rPr>
      </w:pPr>
      <w:r>
        <w:rPr>
          <w:rFonts w:hint="eastAsia" w:ascii="宋体" w:hAnsi="宋体"/>
          <w:kern w:val="0"/>
          <w:sz w:val="21"/>
          <w:szCs w:val="21"/>
        </w:rPr>
        <w:t>本次采购内容如果要求的某些技术标准低于国家标准，均以最新的国家标准为准。</w:t>
      </w:r>
      <w:r>
        <w:rPr>
          <w:rFonts w:hint="eastAsia" w:ascii="宋体" w:hAnsi="宋体"/>
          <w:kern w:val="0"/>
          <w:sz w:val="21"/>
          <w:szCs w:val="21"/>
          <w:lang w:eastAsia="zh-CN"/>
        </w:rPr>
        <w:t>采购</w:t>
      </w:r>
      <w:r>
        <w:rPr>
          <w:rFonts w:hint="eastAsia" w:ascii="宋体" w:hAnsi="宋体"/>
          <w:kern w:val="0"/>
          <w:sz w:val="21"/>
          <w:szCs w:val="21"/>
        </w:rPr>
        <w:t>技术要求中未明确的技术标准也均不得低于国家标准；</w:t>
      </w:r>
    </w:p>
    <w:p w14:paraId="7905F31D">
      <w:pPr>
        <w:widowControl/>
        <w:numPr>
          <w:ilvl w:val="2"/>
          <w:numId w:val="1"/>
        </w:numPr>
        <w:adjustRightInd w:val="0"/>
        <w:spacing w:line="360" w:lineRule="auto"/>
        <w:ind w:firstLine="420" w:firstLineChars="200"/>
        <w:jc w:val="left"/>
        <w:rPr>
          <w:rFonts w:hint="eastAsia" w:ascii="宋体" w:hAnsi="宋体"/>
          <w:kern w:val="0"/>
          <w:sz w:val="21"/>
          <w:szCs w:val="21"/>
        </w:rPr>
      </w:pPr>
      <w:r>
        <w:rPr>
          <w:rFonts w:ascii="宋体" w:hAnsi="宋体"/>
          <w:kern w:val="0"/>
          <w:sz w:val="21"/>
          <w:szCs w:val="21"/>
        </w:rPr>
        <w:t>本采购项目为交钥匙项目，</w:t>
      </w:r>
      <w:r>
        <w:rPr>
          <w:rFonts w:hint="eastAsia" w:ascii="宋体" w:hAnsi="宋体"/>
          <w:kern w:val="0"/>
          <w:sz w:val="21"/>
          <w:szCs w:val="21"/>
        </w:rPr>
        <w:t>验收合格前</w:t>
      </w:r>
      <w:r>
        <w:rPr>
          <w:rFonts w:ascii="宋体" w:hAnsi="宋体"/>
          <w:kern w:val="0"/>
          <w:sz w:val="21"/>
          <w:szCs w:val="21"/>
        </w:rPr>
        <w:t>所需的一切费用</w:t>
      </w:r>
      <w:r>
        <w:rPr>
          <w:rFonts w:hint="eastAsia" w:ascii="宋体" w:hAnsi="宋体"/>
          <w:kern w:val="0"/>
          <w:sz w:val="21"/>
          <w:szCs w:val="21"/>
        </w:rPr>
        <w:t>均</w:t>
      </w:r>
      <w:r>
        <w:rPr>
          <w:rFonts w:ascii="宋体" w:hAnsi="宋体"/>
          <w:kern w:val="0"/>
          <w:sz w:val="21"/>
          <w:szCs w:val="21"/>
        </w:rPr>
        <w:t>包含在报价之中，采购人不</w:t>
      </w:r>
      <w:r>
        <w:rPr>
          <w:rFonts w:hint="eastAsia" w:ascii="宋体" w:hAnsi="宋体"/>
          <w:kern w:val="0"/>
          <w:sz w:val="21"/>
          <w:szCs w:val="21"/>
        </w:rPr>
        <w:t>承担成交价格以外的</w:t>
      </w:r>
      <w:r>
        <w:rPr>
          <w:rFonts w:ascii="宋体" w:hAnsi="宋体"/>
          <w:kern w:val="0"/>
          <w:sz w:val="21"/>
          <w:szCs w:val="21"/>
        </w:rPr>
        <w:t>任何费用。</w:t>
      </w:r>
    </w:p>
    <w:p w14:paraId="555B2885">
      <w:pPr>
        <w:spacing w:line="360" w:lineRule="auto"/>
        <w:rPr>
          <w:rFonts w:hint="eastAsia" w:ascii="宋体" w:hAnsi="宋体" w:cs="宋体"/>
          <w:b/>
          <w:sz w:val="21"/>
          <w:szCs w:val="21"/>
        </w:rPr>
      </w:pPr>
      <w:r>
        <w:rPr>
          <w:rFonts w:hint="eastAsia" w:ascii="宋体" w:hAnsi="宋体" w:cs="宋体"/>
          <w:b/>
          <w:sz w:val="21"/>
          <w:szCs w:val="21"/>
          <w:lang w:val="en-US" w:eastAsia="zh-CN"/>
        </w:rPr>
        <w:t>二、</w:t>
      </w:r>
      <w:r>
        <w:rPr>
          <w:rFonts w:hint="eastAsia" w:ascii="宋体" w:hAnsi="宋体" w:cs="宋体"/>
          <w:b/>
          <w:sz w:val="21"/>
          <w:szCs w:val="21"/>
        </w:rPr>
        <w:t>商务要求</w:t>
      </w:r>
    </w:p>
    <w:p w14:paraId="10381272">
      <w:pPr>
        <w:numPr>
          <w:ilvl w:val="2"/>
          <w:numId w:val="0"/>
        </w:numPr>
        <w:spacing w:line="360" w:lineRule="auto"/>
        <w:ind w:left="0" w:leftChars="0" w:firstLine="420" w:firstLineChars="200"/>
        <w:rPr>
          <w:rFonts w:hint="eastAsia" w:ascii="宋体" w:hAnsi="宋体"/>
          <w:color w:val="auto"/>
          <w:sz w:val="21"/>
          <w:szCs w:val="21"/>
        </w:rPr>
      </w:pPr>
      <w:r>
        <w:rPr>
          <w:rFonts w:hint="default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1.</w:t>
      </w:r>
      <w:r>
        <w:rPr>
          <w:rFonts w:hint="eastAsia" w:ascii="宋体" w:hAnsi="宋体"/>
          <w:color w:val="auto"/>
          <w:sz w:val="21"/>
          <w:szCs w:val="21"/>
        </w:rPr>
        <w:t>合同履行期限：</w:t>
      </w:r>
      <w:r>
        <w:rPr>
          <w:rFonts w:hint="eastAsia" w:ascii="宋体" w:hAnsi="宋体"/>
          <w:color w:val="auto"/>
          <w:sz w:val="21"/>
          <w:szCs w:val="21"/>
          <w:lang w:val="en-US" w:eastAsia="zh-CN"/>
        </w:rPr>
        <w:t>1</w:t>
      </w:r>
      <w:r>
        <w:rPr>
          <w:rFonts w:hint="eastAsia" w:ascii="宋体" w:hAnsi="宋体"/>
          <w:color w:val="auto"/>
          <w:sz w:val="21"/>
          <w:szCs w:val="21"/>
        </w:rPr>
        <w:t>年</w:t>
      </w:r>
    </w:p>
    <w:p w14:paraId="75B2E18D">
      <w:pPr>
        <w:numPr>
          <w:ilvl w:val="2"/>
          <w:numId w:val="0"/>
        </w:numPr>
        <w:spacing w:line="360" w:lineRule="auto"/>
        <w:ind w:left="0" w:leftChars="0" w:firstLine="420" w:firstLineChars="200"/>
        <w:rPr>
          <w:rFonts w:hint="default" w:ascii="宋体" w:hAnsi="宋体" w:eastAsia="宋体"/>
          <w:color w:val="auto"/>
          <w:sz w:val="21"/>
          <w:szCs w:val="21"/>
          <w:highlight w:val="none"/>
          <w:lang w:val="en-US" w:eastAsia="zh-CN"/>
        </w:rPr>
      </w:pPr>
      <w:r>
        <w:rPr>
          <w:rFonts w:hint="default" w:ascii="宋体" w:hAnsi="宋体" w:eastAsia="宋体" w:cs="宋体"/>
          <w:color w:val="auto"/>
          <w:kern w:val="2"/>
          <w:sz w:val="21"/>
          <w:szCs w:val="21"/>
          <w:highlight w:val="none"/>
          <w:lang w:val="en-US" w:eastAsia="zh-CN" w:bidi="ar-SA"/>
        </w:rPr>
        <w:t>2.</w:t>
      </w:r>
      <w:r>
        <w:rPr>
          <w:rFonts w:hint="eastAsia" w:ascii="宋体" w:hAnsi="宋体"/>
          <w:color w:val="auto"/>
          <w:sz w:val="21"/>
          <w:szCs w:val="21"/>
          <w:highlight w:val="none"/>
        </w:rPr>
        <w:t>供货</w:t>
      </w:r>
      <w:r>
        <w:rPr>
          <w:rFonts w:hint="eastAsia" w:ascii="宋体" w:hAnsi="宋体"/>
          <w:color w:val="auto"/>
          <w:sz w:val="21"/>
          <w:szCs w:val="21"/>
          <w:highlight w:val="none"/>
          <w:lang w:eastAsia="zh-CN"/>
        </w:rPr>
        <w:t>（服务）</w:t>
      </w:r>
      <w:r>
        <w:rPr>
          <w:rFonts w:hint="eastAsia" w:ascii="宋体" w:hAnsi="宋体"/>
          <w:color w:val="auto"/>
          <w:sz w:val="21"/>
          <w:szCs w:val="21"/>
          <w:highlight w:val="none"/>
        </w:rPr>
        <w:t>地点：</w:t>
      </w:r>
      <w:r>
        <w:rPr>
          <w:rFonts w:hint="eastAsia" w:ascii="宋体" w:hAnsi="宋体"/>
          <w:color w:val="auto"/>
          <w:sz w:val="21"/>
          <w:szCs w:val="21"/>
          <w:highlight w:val="none"/>
          <w:lang w:val="en-US" w:eastAsia="zh-CN"/>
        </w:rPr>
        <w:t>成交供应商文物保护修复室</w:t>
      </w:r>
    </w:p>
    <w:p w14:paraId="09031F55">
      <w:pPr>
        <w:numPr>
          <w:ilvl w:val="2"/>
          <w:numId w:val="0"/>
        </w:numPr>
        <w:spacing w:line="360" w:lineRule="auto"/>
        <w:ind w:left="0" w:leftChars="0" w:firstLine="420" w:firstLineChars="200"/>
        <w:rPr>
          <w:rFonts w:hint="eastAsia" w:ascii="宋体" w:hAnsi="宋体"/>
          <w:color w:val="auto"/>
          <w:sz w:val="21"/>
          <w:szCs w:val="21"/>
        </w:rPr>
      </w:pPr>
      <w:r>
        <w:rPr>
          <w:rFonts w:hint="default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3.</w:t>
      </w:r>
      <w:r>
        <w:rPr>
          <w:rFonts w:hint="eastAsia" w:ascii="宋体" w:hAnsi="宋体"/>
          <w:color w:val="auto"/>
          <w:sz w:val="21"/>
          <w:szCs w:val="21"/>
        </w:rPr>
        <w:t>质量标准：</w:t>
      </w:r>
      <w:r>
        <w:rPr>
          <w:rFonts w:hint="eastAsia" w:ascii="宋体" w:hAnsi="宋体"/>
          <w:color w:val="auto"/>
          <w:sz w:val="21"/>
          <w:szCs w:val="21"/>
          <w:lang w:val="en-US" w:eastAsia="zh-CN"/>
        </w:rPr>
        <w:t>符合国家质量标准及相关行业标准</w:t>
      </w:r>
    </w:p>
    <w:p w14:paraId="2C10D597">
      <w:pPr>
        <w:numPr>
          <w:ilvl w:val="2"/>
          <w:numId w:val="0"/>
        </w:numPr>
        <w:spacing w:line="360" w:lineRule="auto"/>
        <w:ind w:left="0" w:leftChars="0" w:firstLine="420" w:firstLineChars="200"/>
        <w:rPr>
          <w:rFonts w:hint="eastAsia" w:ascii="宋体" w:hAnsi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4</w:t>
      </w:r>
      <w:r>
        <w:rPr>
          <w:rFonts w:hint="default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.</w:t>
      </w:r>
      <w:r>
        <w:rPr>
          <w:rFonts w:hint="eastAsia" w:ascii="宋体" w:hAnsi="宋体"/>
          <w:color w:val="auto"/>
          <w:sz w:val="21"/>
          <w:szCs w:val="21"/>
        </w:rPr>
        <w:t>付款方式：</w:t>
      </w:r>
      <w:r>
        <w:rPr>
          <w:rFonts w:hint="eastAsia" w:ascii="宋体" w:hAnsi="宋体"/>
          <w:color w:val="auto"/>
          <w:sz w:val="21"/>
          <w:szCs w:val="21"/>
          <w:lang w:val="en-US" w:eastAsia="zh-CN"/>
        </w:rPr>
        <w:t>合同签订后10个工作日内，甲方向乙方支付合同金额的60% 作为首付款，待完成本项目所有工作内容，甲方向乙方支付剩余40%的合同款。</w:t>
      </w:r>
    </w:p>
    <w:p w14:paraId="3CC8AF5E">
      <w:pPr>
        <w:keepNext w:val="0"/>
        <w:keepLines w:val="0"/>
        <w:widowControl/>
        <w:suppressLineNumbers w:val="0"/>
        <w:jc w:val="left"/>
        <w:rPr>
          <w:rFonts w:hint="eastAsia" w:ascii="宋体" w:hAnsi="宋体" w:cs="宋体"/>
          <w:b/>
          <w:sz w:val="21"/>
          <w:szCs w:val="21"/>
        </w:rPr>
      </w:pPr>
      <w:r>
        <w:rPr>
          <w:rFonts w:hint="eastAsia" w:ascii="宋体" w:hAnsi="宋体"/>
          <w:b/>
          <w:bCs/>
          <w:kern w:val="0"/>
          <w:sz w:val="21"/>
          <w:szCs w:val="21"/>
          <w:lang w:eastAsia="zh-CN" w:bidi="ar"/>
        </w:rPr>
        <w:t>三、</w:t>
      </w:r>
      <w:r>
        <w:rPr>
          <w:rFonts w:hint="eastAsia" w:ascii="宋体" w:hAnsi="宋体" w:cs="宋体"/>
          <w:b/>
          <w:sz w:val="21"/>
          <w:szCs w:val="21"/>
        </w:rPr>
        <w:t>采购内容及技术要求</w:t>
      </w:r>
    </w:p>
    <w:bookmarkEnd w:id="0"/>
    <w:bookmarkEnd w:id="1"/>
    <w:bookmarkEnd w:id="2"/>
    <w:p w14:paraId="50B9C49D">
      <w:pPr>
        <w:pStyle w:val="2"/>
        <w:spacing w:line="360" w:lineRule="auto"/>
        <w:ind w:firstLine="632" w:firstLineChars="300"/>
        <w:rPr>
          <w:rFonts w:hint="eastAsia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1"/>
          <w:szCs w:val="21"/>
          <w:lang w:val="en-US" w:eastAsia="zh-CN" w:bidi="ar-SA"/>
        </w:rPr>
        <w:t>1、主要目标：</w:t>
      </w:r>
      <w:r>
        <w:rPr>
          <w:rFonts w:hint="eastAsia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计划1年内完成武陟县文物保护中心馆藏33套（83件）的保护修复工作。在严格遵循“最小干预”、“不改变文物原貌”的原则下，依据有关规定和行业技术标准，采用传统和现代科技方法，完成上述33套（83件）书画文物的修复保护。要求文物保护修复所用的材料应具有可逆性，保持文物原貌，最大限度保存历史信息。经保护修复后，文物本体稳定性和物理强度得到提高，不影响其平整度和光泽度，色差在可接受范围内。保护处理后的文物能安全保存和展陈；经脱酸处理后的纸质文物pH值达到7.0以上并能保持时效性。完成纸质文物保护修复档案及保护修复报告编写。通过保护修复恢复器物原貌，认知纸质文物的科技价值，展现其历史与艺术价值，有利文化遗产保护及传承与展示。</w:t>
      </w:r>
    </w:p>
    <w:p w14:paraId="5915C6AB">
      <w:pPr>
        <w:spacing w:line="360" w:lineRule="auto"/>
        <w:ind w:firstLine="632" w:firstLineChars="300"/>
        <w:rPr>
          <w:rFonts w:hint="eastAsia" w:ascii="宋体" w:hAnsi="宋体" w:eastAsia="宋体" w:cs="宋体"/>
          <w:b/>
          <w:bCs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1"/>
          <w:szCs w:val="21"/>
          <w:lang w:val="en-US" w:eastAsia="zh-CN" w:bidi="ar-SA"/>
        </w:rPr>
        <w:t>33套（83件）书画文物清单</w:t>
      </w:r>
    </w:p>
    <w:tbl>
      <w:tblPr>
        <w:tblStyle w:val="8"/>
        <w:tblW w:w="10884" w:type="dxa"/>
        <w:tblInd w:w="-8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8"/>
        <w:gridCol w:w="840"/>
        <w:gridCol w:w="1248"/>
        <w:gridCol w:w="660"/>
        <w:gridCol w:w="744"/>
        <w:gridCol w:w="672"/>
        <w:gridCol w:w="1488"/>
        <w:gridCol w:w="1848"/>
        <w:gridCol w:w="1092"/>
        <w:gridCol w:w="1764"/>
      </w:tblGrid>
      <w:tr w14:paraId="0D0C18D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3BD6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序号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FE27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藏品号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CCF9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藏品名称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F65CA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年代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EC9E6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级别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C6D7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材质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F9033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藏品尺寸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2166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完残程度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2257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备注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00D7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图片</w:t>
            </w:r>
          </w:p>
        </w:tc>
      </w:tr>
      <w:tr w14:paraId="0075BCF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67B5A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66DE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00387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288E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加封翰林院庶吉士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A8D1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BF206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94E5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丝织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F54F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横199.5 纵30.5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E477E1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9417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47A5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position w:val="-45"/>
              </w:rPr>
              <w:drawing>
                <wp:inline distT="0" distB="0" distL="114300" distR="114300">
                  <wp:extent cx="973455" cy="685800"/>
                  <wp:effectExtent l="0" t="0" r="1905" b="0"/>
                  <wp:docPr id="1" name="图片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45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CBB15B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72A0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0FC7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00392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39DE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刘慕松琴棋书画四扇屏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DFE1B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170BA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EEC1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C3DD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横27.8 纵66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0FE3D7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有折痕；天、地残缺严重。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F1939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0F5D90">
            <w:pPr>
              <w:keepNext w:val="0"/>
              <w:keepLines w:val="0"/>
              <w:widowControl/>
              <w:suppressLineNumbers w:val="0"/>
              <w:spacing w:line="240" w:lineRule="auto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position w:val="-86"/>
              </w:rPr>
              <w:drawing>
                <wp:inline distT="0" distB="0" distL="114300" distR="114300">
                  <wp:extent cx="1056005" cy="600710"/>
                  <wp:effectExtent l="0" t="0" r="10795" b="8890"/>
                  <wp:docPr id="3" name="图片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005" cy="600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86"/>
              </w:rPr>
              <w:drawing>
                <wp:inline distT="0" distB="0" distL="114300" distR="114300">
                  <wp:extent cx="1024255" cy="549910"/>
                  <wp:effectExtent l="0" t="0" r="12065" b="13970"/>
                  <wp:docPr id="4" name="图片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255" cy="549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86"/>
              </w:rPr>
              <w:drawing>
                <wp:inline distT="0" distB="0" distL="114300" distR="114300">
                  <wp:extent cx="973455" cy="601980"/>
                  <wp:effectExtent l="0" t="0" r="1905" b="7620"/>
                  <wp:docPr id="2" name="图片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4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86"/>
              </w:rPr>
              <w:drawing>
                <wp:inline distT="0" distB="0" distL="114300" distR="114300">
                  <wp:extent cx="942975" cy="564515"/>
                  <wp:effectExtent l="0" t="0" r="1905" b="14605"/>
                  <wp:docPr id="18" name="图片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564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04D4F6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C10B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1B63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00394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93B9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刘慕松仕女图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9B95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9CB0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4859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94A9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横30.1 纵60.5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7F9BC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折裂、老化、焦脆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BD386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D891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position w:val="-46"/>
              </w:rPr>
              <w:drawing>
                <wp:inline distT="0" distB="0" distL="114300" distR="114300">
                  <wp:extent cx="1128395" cy="485140"/>
                  <wp:effectExtent l="0" t="0" r="14605" b="2540"/>
                  <wp:docPr id="17" name="图片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395" cy="4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6D1A48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D29D4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24694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00397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4496A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毛树棠楷书对联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1918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5A8E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3488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708B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横39  纵17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1C8EC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有折痕、折裂。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69AA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03334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04900" cy="454660"/>
                  <wp:effectExtent l="0" t="0" r="7620" b="2540"/>
                  <wp:docPr id="27" name="图片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7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454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34"/>
              </w:rPr>
              <w:drawing>
                <wp:inline distT="0" distB="0" distL="114300" distR="114300">
                  <wp:extent cx="1104900" cy="481330"/>
                  <wp:effectExtent l="0" t="0" r="7620" b="6350"/>
                  <wp:docPr id="16" name="图片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481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C7A075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27A5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D335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00398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16A90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小意圆花鸟图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86F3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C5B6A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E56B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4CF4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横36.7  纵125.4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8A143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8E32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F20A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059815" cy="977265"/>
                  <wp:effectExtent l="0" t="0" r="6985" b="13335"/>
                  <wp:docPr id="19" name="图片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815" cy="977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23"/>
              </w:rPr>
              <w:drawing>
                <wp:inline distT="0" distB="0" distL="114300" distR="114300">
                  <wp:extent cx="880745" cy="1437005"/>
                  <wp:effectExtent l="0" t="0" r="3175" b="10795"/>
                  <wp:docPr id="20" name="图片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1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074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EE4D4E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40FB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04A0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00400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073C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毛树棠草书八扇屏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B40A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78FD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BA37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1C45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横33.1  纵101.7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AD1939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折痕严重，缺片。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4EF3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1A30D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2165985"/>
                  <wp:effectExtent l="0" t="0" r="11430" b="13335"/>
                  <wp:docPr id="23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2165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147445" cy="2280285"/>
                  <wp:effectExtent l="0" t="0" r="10795" b="5715"/>
                  <wp:docPr id="21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228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8DB98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CF909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2822D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00411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B657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方朔隶字横批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B5538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51D0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C6B5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82AF9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横99 纵62.9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E3806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有折痕，折裂。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1574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A9D90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175" cy="779780"/>
                  <wp:effectExtent l="0" t="0" r="12065" b="12700"/>
                  <wp:docPr id="22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77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468942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4E390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FEE2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00412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B0C07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富贵白头图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9A34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92BF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FEA5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A919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横44.4 纵128.1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AE4797B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有折痕，霉斑现象严重。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5121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0B5CD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461645"/>
                  <wp:effectExtent l="0" t="0" r="11430" b="10795"/>
                  <wp:docPr id="29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46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550C6E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FA5F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5A03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00414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6030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杜严魏碑对联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0C5F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48217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41A7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C312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横32.5 纵129.5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D3C605C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残缺现象严重，有折痕，小孔。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FF36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B1D7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1727200"/>
                  <wp:effectExtent l="0" t="0" r="10160" b="10160"/>
                  <wp:docPr id="24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172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5A97B2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4A358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B4139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00421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0CE9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毛树棠行书对联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166B4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F2A8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0E53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CA11E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横32 纵145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EEAE3A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折裂，折痕，缺片。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8A4A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5DD0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5540" cy="1704975"/>
                  <wp:effectExtent l="0" t="0" r="12700" b="1905"/>
                  <wp:docPr id="25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540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1DB1A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EAA0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FEA42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00422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A8DCE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张桐楷书12条屏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3F4EB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B710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BF07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31FD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横28.2 纵129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7C1141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轴掉，折裂，折痕。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20F8E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E275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1933575"/>
                  <wp:effectExtent l="0" t="0" r="11430" b="1905"/>
                  <wp:docPr id="26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148080" cy="2018665"/>
                  <wp:effectExtent l="0" t="0" r="10160" b="8255"/>
                  <wp:docPr id="15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2018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146810" cy="2116455"/>
                  <wp:effectExtent l="0" t="0" r="11430" b="1905"/>
                  <wp:docPr id="13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211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22236E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83CD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6117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01140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A5027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清毛昶熙手迹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1C48D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5936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BC485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A3C4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横8.1 纵17.2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A0BA9B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折裂，折痕现象严重，有霉点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26B9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955E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1080770"/>
                  <wp:effectExtent l="0" t="0" r="11430" b="1270"/>
                  <wp:docPr id="14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8FADF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374A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54BC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01142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44CD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清午桥浩隶书横幅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FFB9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6C1E8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790D2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96A9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横156 纵92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FEEEDA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折裂，缺片，有霉点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84C9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4EA0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763905"/>
                  <wp:effectExtent l="0" t="0" r="10795" b="13335"/>
                  <wp:docPr id="28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76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652F3E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1E65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5EAE7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01099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D9C88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清毛树棠行草条屏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481F3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92C9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D12C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19E4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横25 纵115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66CD89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折痕、折裂、虫蛀、污迹、锈迹、霉迹、破口、断裂、上轴掉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CEAC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C38E9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2135505"/>
                  <wp:effectExtent l="0" t="0" r="11430" b="13335"/>
                  <wp:docPr id="3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213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7C1176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83B50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E9E46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01067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06A1F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清何韶基行楷对联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B3747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CB2D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EC43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73DD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横29 纵132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4FFB322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折痕、墨迹、破洞、污迹、擦毛、焦脆、泛黄、折裂严重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6BD6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DCF7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1590040"/>
                  <wp:effectExtent l="0" t="0" r="10795" b="10160"/>
                  <wp:docPr id="44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159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0F6295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7FE5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93BD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01082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2AE6B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民国王文田篆书对联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EC01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民国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8159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B513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E958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横36.4 纵139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7C0F4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折痕、折裂、破洞、焦黄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39BA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9987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763905"/>
                  <wp:effectExtent l="0" t="0" r="10160" b="13335"/>
                  <wp:docPr id="45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76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D686BF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center"/>
          </w:tcPr>
          <w:p w14:paraId="6D3CD9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center"/>
          </w:tcPr>
          <w:p w14:paraId="54EBCD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01096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 w:val="0"/>
            <w:vAlign w:val="center"/>
          </w:tcPr>
          <w:p w14:paraId="0D77CF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元赵子昂行书对联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96A1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元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092D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DE94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7909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横25 纵115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CDCC2B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折痕、折裂、缺口、霉迹、污迹、泛黄、焦脆、破口、虫蛀、变色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3D60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7847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5540" cy="774700"/>
                  <wp:effectExtent l="0" t="0" r="12700" b="2540"/>
                  <wp:docPr id="33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54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DFDC14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9E62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5B34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2024-0415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85674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清毛昶熙之祖父母诰命圣旨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1DFF0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22251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0EB2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丝织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2027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454*31.5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092FA3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有虫洞缺失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BE7B2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0E26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5540" cy="188595"/>
                  <wp:effectExtent l="0" t="0" r="12700" b="9525"/>
                  <wp:docPr id="3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540" cy="18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5A97B9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5BC0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19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3BA19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00516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39790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民国行书条幅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7478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民国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EDDE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23028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1A3B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145*38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230B04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有折痕，霉斑现象严重。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7BED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98317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2096770"/>
                  <wp:effectExtent l="0" t="0" r="10795" b="6350"/>
                  <wp:docPr id="46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2096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1150A2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8EFB1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C7B2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00517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E99E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清周天霖楷书祝寿屏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9B39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A3C38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4132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10CE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41.5*176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D691806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残缺现象严重，有折痕，小孔。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BC7DC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tbl>
            <w:tblPr>
              <w:tblStyle w:val="10"/>
              <w:tblW w:w="10886" w:type="dxa"/>
              <w:jc w:val="center"/>
              <w:tblBorders>
                <w:top w:val="single" w:color="000000" w:sz="2" w:space="0"/>
                <w:left w:val="single" w:color="000000" w:sz="2" w:space="0"/>
                <w:bottom w:val="single" w:color="000000" w:sz="2" w:space="0"/>
                <w:right w:val="single" w:color="000000" w:sz="2" w:space="0"/>
                <w:insideH w:val="single" w:color="000000" w:sz="2" w:space="0"/>
                <w:insideV w:val="single" w:color="000000" w:sz="2" w:space="0"/>
              </w:tblBorders>
              <w:tblLayout w:type="fixed"/>
              <w:tblCellMar>
                <w:top w:w="0" w:type="dxa"/>
                <w:left w:w="0" w:type="dxa"/>
                <w:bottom w:w="0" w:type="dxa"/>
                <w:right w:w="0" w:type="dxa"/>
              </w:tblCellMar>
            </w:tblPr>
            <w:tblGrid>
              <w:gridCol w:w="2166"/>
            </w:tblGrid>
            <w:tr w14:paraId="0C918FD4">
              <w:tblPrEx>
                <w:tblBorders>
                  <w:top w:val="single" w:color="000000" w:sz="2" w:space="0"/>
                  <w:left w:val="single" w:color="000000" w:sz="2" w:space="0"/>
                  <w:bottom w:val="single" w:color="000000" w:sz="2" w:space="0"/>
                  <w:right w:val="single" w:color="000000" w:sz="2" w:space="0"/>
                  <w:insideH w:val="single" w:color="000000" w:sz="2" w:space="0"/>
                  <w:insideV w:val="single" w:color="000000" w:sz="2" w:space="0"/>
                </w:tblBorders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763" w:hRule="atLeast"/>
                <w:jc w:val="center"/>
              </w:trPr>
              <w:tc>
                <w:tcPr>
                  <w:tcW w:w="2166" w:type="dxa"/>
                  <w:noWrap w:val="0"/>
                  <w:vAlign w:val="center"/>
                </w:tcPr>
                <w:p w14:paraId="2DD50883">
                  <w:pPr>
                    <w:jc w:val="center"/>
                    <w:rPr>
                      <w:rFonts w:ascii="仿宋" w:hAnsi="仿宋" w:eastAsia="仿宋" w:cs="仿宋"/>
                      <w:sz w:val="24"/>
                    </w:rPr>
                  </w:pPr>
                  <w:r>
                    <w:drawing>
                      <wp:inline distT="0" distB="0" distL="114300" distR="114300">
                        <wp:extent cx="1147445" cy="1802130"/>
                        <wp:effectExtent l="0" t="0" r="10795" b="11430"/>
                        <wp:docPr id="34" name="图片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4" name="图片 2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7445" cy="18021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114300" distR="114300">
                        <wp:extent cx="1147445" cy="2072640"/>
                        <wp:effectExtent l="0" t="0" r="10795" b="0"/>
                        <wp:docPr id="37" name="图片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7" name="图片 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7445" cy="2072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114300" distR="114300">
                        <wp:extent cx="1147445" cy="2220595"/>
                        <wp:effectExtent l="0" t="0" r="10795" b="4445"/>
                        <wp:docPr id="30" name="图片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0" name="图片 3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7445" cy="22205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114300" distR="114300">
                        <wp:extent cx="1146175" cy="901065"/>
                        <wp:effectExtent l="0" t="0" r="12065" b="13335"/>
                        <wp:docPr id="35" name="图片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5" name="图片 3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6175" cy="9010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9065E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6F52DBC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9A28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21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BC10E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00518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15EDF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明末清初地府图水陆轴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0C453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AFAA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22A38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8B14A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172*71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0BE77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折裂，折痕，缺片。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683F6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FF99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695960"/>
                  <wp:effectExtent l="0" t="0" r="10160" b="5080"/>
                  <wp:docPr id="31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69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75962F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1641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34517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00519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D147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明末清初天降图水陆轴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E3EA5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245F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E3B7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89527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176*72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B59BEC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轴掉，折裂，折痕。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538D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EE41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762635"/>
                  <wp:effectExtent l="0" t="0" r="10795" b="14605"/>
                  <wp:docPr id="38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762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AAAEB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2911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23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C1621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00520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DDEE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明末清初上界、下界、地府三界图水陆轴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FDF46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B8E6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116F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A7FB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179*73.5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D2FBC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折裂，折痕现象严重，有霉点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0816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661A5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175" cy="645795"/>
                  <wp:effectExtent l="0" t="0" r="12065" b="9525"/>
                  <wp:docPr id="39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645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E38A99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D5458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24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BBB65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00521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F551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明末清初朝辕图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5C92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B9E1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0C85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B0E3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173*73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5C8982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折裂，缺片，有霉点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9DB1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50AE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582295"/>
                  <wp:effectExtent l="0" t="0" r="11430" b="12065"/>
                  <wp:docPr id="40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58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BD0939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3F4C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25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D60C6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F389F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明末清初诸神图水陆轴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5DAD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4568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38212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30D6E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171*72.5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D95B26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折痕、折裂、虫蛀、污迹、锈迹、霉迹、破口、断裂、上轴掉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DD4B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AC22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610235"/>
                  <wp:effectExtent l="0" t="0" r="10160" b="14605"/>
                  <wp:docPr id="41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61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30855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01A78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26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AB4C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00523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288B4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明末清初道教众仙图水陆轴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BA21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8969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5E0D7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0EFEF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173*71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9A10403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折痕、墨迹、破洞、污迹、擦毛、焦脆、泛黄、折裂严重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1DE76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9136B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175" cy="632460"/>
                  <wp:effectExtent l="0" t="0" r="12065" b="7620"/>
                  <wp:docPr id="43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37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632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9A97A1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F758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27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E7ED5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00524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5885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明末清初地府审贪图水陆轴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D40F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4013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D9DC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D6EE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170*71.5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D9AC55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折痕、折裂、破洞、焦黄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FD34D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64F8F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755015"/>
                  <wp:effectExtent l="0" t="0" r="11430" b="6985"/>
                  <wp:docPr id="42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38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755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35AAA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ED23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28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179E7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00525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CA15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明末清初人物故事水陆轴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34A5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20CE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D95E1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62A9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164*71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BF22A39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折痕、折裂、缺口、霉迹、污迹、泛黄、焦脆、破口、虫蛀、变色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6E22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C3F9D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754380"/>
                  <wp:effectExtent l="0" t="0" r="10795" b="7620"/>
                  <wp:docPr id="7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39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E21ED1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9C53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29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0F7EB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00526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A53E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明末清初众仙图水陆轴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0037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C1DB8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1719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F508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155*73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44697F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有折痕，霉斑现象严重。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8A448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3DE6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175" cy="768985"/>
                  <wp:effectExtent l="0" t="0" r="12065" b="8255"/>
                  <wp:docPr id="8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768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48127B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E73F0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30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DC23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2E79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清代北斗星君图轴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370C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3E2A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6B88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F2BE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172*86.5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E5B8D5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残缺现象严重，有折痕，小孔。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B6901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306D13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647065"/>
                  <wp:effectExtent l="0" t="0" r="10160" b="8255"/>
                  <wp:docPr id="9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890EF4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403BA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31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F151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00528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1F39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明末清初彩绘释迦牟尼轴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CE58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86092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21463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E32B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223*91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477C58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折裂，折痕，缺片。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9A16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3D3C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767715"/>
                  <wp:effectExtent l="0" t="0" r="11430" b="9525"/>
                  <wp:docPr id="5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7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2E57C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9FFE3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32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7B75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02127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E1F8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清三清道祖水陆轴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4401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F9AEE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3072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BBC1B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72*172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430A98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轴掉，折裂，折痕。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3FE8B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2360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547370"/>
                  <wp:effectExtent l="0" t="0" r="10795" b="1270"/>
                  <wp:docPr id="10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547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ED554A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39283C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33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70A6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02128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DC25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清竹禅篆书条幅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BB831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D5ACF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A9B2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6F63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45*158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8F8D8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折裂，折痕现象严重，有霉点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49AD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C31C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515620"/>
                  <wp:effectExtent l="0" t="0" r="10795" b="2540"/>
                  <wp:docPr id="11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515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17F2F7">
      <w:pPr>
        <w:pStyle w:val="6"/>
        <w:numPr>
          <w:ilvl w:val="0"/>
          <w:numId w:val="1"/>
        </w:numPr>
        <w:ind w:left="840" w:leftChars="0" w:hanging="420" w:firstLineChars="0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 w:bidi="ar"/>
        </w:rPr>
        <w:t>技术要求</w:t>
      </w:r>
    </w:p>
    <w:p w14:paraId="124BE651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为保护文物的安全，供应商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工作场所和技术设备应满足《可移动文物保护修复室规范化建设与仪器装备基本要求》（GB/T30238-2013）规定的区域技术中心以上的标准条件和功能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；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文物保管场所安全条件符合《文物系统博物馆风险等级和安全防护级别的规定（GA27—2002）》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。</w:t>
      </w:r>
    </w:p>
    <w:p w14:paraId="16E91383">
      <w:pPr>
        <w:keepNext w:val="0"/>
        <w:keepLines w:val="0"/>
        <w:widowControl/>
        <w:suppressLineNumbers w:val="0"/>
        <w:spacing w:line="360" w:lineRule="auto"/>
        <w:ind w:firstLine="480" w:firstLineChars="200"/>
        <w:jc w:val="left"/>
        <w:rPr>
          <w:rFonts w:hint="eastAsia"/>
          <w:color w:val="auto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 xml:space="preserve">文物在移交采购人前，供应商负责相应文物在保护修复期间的保管、运输和安全责任，相应费用包含在成交价中。非经采购人书面认可、同意，成交供应商不得更换项目负责人。 </w:t>
      </w:r>
    </w:p>
    <w:p w14:paraId="242A2CF5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（1）基本原则</w:t>
      </w:r>
    </w:p>
    <w:p w14:paraId="73A93DC7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①不改变文物原状的原则，同时在实施保护修复中不允许对文物造成新的破坏。</w:t>
      </w:r>
    </w:p>
    <w:p w14:paraId="6705159D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②最小干预原则。</w:t>
      </w:r>
    </w:p>
    <w:p w14:paraId="746A8085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③使用的材料必须符合可再处理的原则。</w:t>
      </w:r>
    </w:p>
    <w:p w14:paraId="4400704F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④可识别与整体协调相结合的原则。</w:t>
      </w:r>
    </w:p>
    <w:p w14:paraId="4620FA2F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⑤保护修复工作过程中，要严格执行保证文物真实性的原则。</w:t>
      </w:r>
    </w:p>
    <w:p w14:paraId="627CC8A2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（2）工作目标</w:t>
      </w:r>
    </w:p>
    <w:p w14:paraId="7D55DEE7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以相同原料的传统手工纸为参考目标，经过保护修复的纸质文物将达到以下技术指标：</w:t>
      </w:r>
    </w:p>
    <w:p w14:paraId="0AC85694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①色差：△E≤0.5；</w:t>
      </w:r>
    </w:p>
    <w:p w14:paraId="488103CD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②手感无明显变化，柔软性明显增强；</w:t>
      </w:r>
    </w:p>
    <w:p w14:paraId="366D87B6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③防虫抗霉变；</w:t>
      </w:r>
    </w:p>
    <w:p w14:paraId="5B179CE1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④满足展陈和研究的需要；</w:t>
      </w:r>
    </w:p>
    <w:p w14:paraId="610AB12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⑤依据修复原则对残损的纸质文物进行保护修复，使用传统工艺技术和材料，所有新材料和新工艺都必须经过前期试验和研究，以对文物最无害的工艺技术用于保护修复。经保护修复后，文物本体稳定性和物理强度得到提高，不影响其平整度和光泽度。</w:t>
      </w:r>
    </w:p>
    <w:p w14:paraId="24C62CE9">
      <w:pPr>
        <w:numPr>
          <w:ilvl w:val="0"/>
          <w:numId w:val="2"/>
        </w:num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操作流程</w:t>
      </w:r>
    </w:p>
    <w:p w14:paraId="1833B608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634740" cy="5948680"/>
            <wp:effectExtent l="0" t="0" r="7620" b="10160"/>
            <wp:docPr id="6" name="图片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5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634740" cy="594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50CBB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sectPr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 w14:paraId="0CB13C3F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3.1. 消毒</w:t>
      </w:r>
    </w:p>
    <w:p w14:paraId="1D8AFF9A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保护修复的33 套（83 件）纸质文物中发现有少量的微生物损害，为防止霉菌交叉感染其它文物，这批全部33 套（83 件） 纸质文物均需进行相应的消毒灭菌处理。</w:t>
      </w:r>
    </w:p>
    <w:p w14:paraId="6E04ABA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bookmarkStart w:id="3" w:name="bookmark13"/>
      <w:bookmarkEnd w:id="3"/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3.2. 脱酸</w:t>
      </w:r>
    </w:p>
    <w:p w14:paraId="5B7522D9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经现场检查，判定部分文物有不同程度的酸化现象。每件文物在实际保护修复前也需进行表面无损酸度测试，酸化较重的文物（pH  值≤5.0）需进行脱酸处理。</w:t>
      </w:r>
    </w:p>
    <w:p w14:paraId="179B3529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bookmarkStart w:id="4" w:name="bookmark14"/>
      <w:bookmarkEnd w:id="4"/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3.3. 清洗</w:t>
      </w:r>
    </w:p>
    <w:p w14:paraId="7FDDC226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根据病害调查，保护修复的33 套（83 件）文物中部分存在不同程度的水渍、 污渍和少量微生物等病害，所以在进行装裱处理前一定要采取传统与科学的清洗方法予以去除。</w:t>
      </w:r>
    </w:p>
    <w:p w14:paraId="725B862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（1）水渍</w:t>
      </w:r>
    </w:p>
    <w:p w14:paraId="0F029B16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水渍是纸质文物最常见的病害之一，在揭裱修复过程中比较容易去除。</w:t>
      </w:r>
    </w:p>
    <w:p w14:paraId="141767A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（2）污点和微生物损害等</w:t>
      </w:r>
    </w:p>
    <w:p w14:paraId="4CB5DC83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处理方法是用棉签蘸取酒精涂擦，避免使用化学药品，再用蒸馏水或纯净水冲洗干净。</w:t>
      </w:r>
    </w:p>
    <w:p w14:paraId="7292612D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bookmarkStart w:id="5" w:name="bookmark15"/>
      <w:bookmarkEnd w:id="5"/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3.4. 装裱</w:t>
      </w:r>
    </w:p>
    <w:p w14:paraId="10E7CB62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(1) 揭裱</w:t>
      </w:r>
    </w:p>
    <w:p w14:paraId="37DB06B3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(2) 修补</w:t>
      </w:r>
    </w:p>
    <w:p w14:paraId="1C2B461D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(3) 上托纸</w:t>
      </w:r>
    </w:p>
    <w:p w14:paraId="32DE4AE2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(4)  全色</w:t>
      </w:r>
    </w:p>
    <w:p w14:paraId="598AF386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(5) 装裱</w:t>
      </w:r>
    </w:p>
    <w:p w14:paraId="1CECD84C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(6)  资料记录工作</w:t>
      </w:r>
    </w:p>
    <w:p w14:paraId="73B361D3">
      <w:pPr>
        <w:spacing w:line="360" w:lineRule="auto"/>
        <w:ind w:firstLine="480" w:firstLineChars="200"/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按照科学、规范化要求，对该批保护修复的纸质文物建立科学档案，对现状、病害、工艺和保护修复后的效果进行比对、观察、记录、照相、建立文字和图片档案，要详尽、科学地描述，为今后的保护、研究工作提供完整数据。</w:t>
      </w:r>
      <w:bookmarkStart w:id="6" w:name="_GoBack"/>
      <w:bookmarkEnd w:id="6"/>
    </w:p>
    <w:sectPr>
      <w:footerReference r:id="rId3" w:type="default"/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63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幼圆">
    <w:altName w:val="宋体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51660B8"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15875">
                        <a:noFill/>
                      </a:ln>
                    </wps:spPr>
                    <wps:txbx>
                      <w:txbxContent>
                        <w:p w14:paraId="151A9FB9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">
              <v:path/>
              <v:fill on="f" focussize="0,0"/>
              <v:stroke on="f" weight="1.25pt"/>
              <v:imagedata o:title=""/>
              <o:lock v:ext="edit" aspectratio="f"/>
              <v:textbox inset="0mm,0mm,0mm,0mm" style="mso-fit-shape-to-text:t;">
                <w:txbxContent>
                  <w:p w14:paraId="151A9FB9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1E36AFE"/>
    <w:multiLevelType w:val="singleLevel"/>
    <w:tmpl w:val="D1E36AFE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00000030"/>
    <w:multiLevelType w:val="multilevel"/>
    <w:tmpl w:val="00000030"/>
    <w:lvl w:ilvl="0" w:tentative="0">
      <w:start w:val="1"/>
      <w:numFmt w:val="decimal"/>
      <w:lvlText w:val="%1."/>
      <w:lvlJc w:val="left"/>
      <w:pPr>
        <w:ind w:left="840" w:hanging="420"/>
      </w:p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decimal"/>
      <w:suff w:val="nothing"/>
      <w:lvlText w:val="%3."/>
      <w:lvlJc w:val="left"/>
      <w:pPr>
        <w:ind w:left="0" w:firstLine="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8B00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qFormat="1"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5">
    <w:name w:val="heading 1"/>
    <w:basedOn w:val="1"/>
    <w:next w:val="1"/>
    <w:qFormat/>
    <w:uiPriority w:val="0"/>
    <w:pPr>
      <w:keepNext/>
      <w:keepLines/>
      <w:spacing w:before="500" w:beforeLines="0" w:after="500" w:afterLines="0" w:line="578" w:lineRule="auto"/>
      <w:jc w:val="center"/>
      <w:outlineLvl w:val="0"/>
    </w:pPr>
    <w:rPr>
      <w:b/>
      <w:bCs/>
      <w:kern w:val="44"/>
      <w:sz w:val="44"/>
      <w:szCs w:val="44"/>
    </w:rPr>
  </w:style>
  <w:style w:type="paragraph" w:styleId="6">
    <w:name w:val="heading 3"/>
    <w:basedOn w:val="1"/>
    <w:next w:val="1"/>
    <w:qFormat/>
    <w:uiPriority w:val="0"/>
    <w:pPr>
      <w:keepNext/>
      <w:keepLines/>
      <w:spacing w:before="260" w:beforeLines="0" w:after="260" w:afterLines="0" w:line="416" w:lineRule="auto"/>
      <w:outlineLvl w:val="2"/>
    </w:pPr>
    <w:rPr>
      <w:rFonts w:eastAsia="幼圆"/>
      <w:b/>
      <w:bCs/>
      <w:sz w:val="32"/>
      <w:szCs w:val="32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iPriority w:val="0"/>
    <w:pPr>
      <w:numPr>
        <w:ilvl w:val="0"/>
        <w:numId w:val="0"/>
      </w:numPr>
      <w:spacing w:after="120" w:afterLines="0"/>
    </w:pPr>
  </w:style>
  <w:style w:type="paragraph" w:styleId="3">
    <w:name w:val="Body Text Indent"/>
    <w:basedOn w:val="1"/>
    <w:next w:val="4"/>
    <w:uiPriority w:val="0"/>
  </w:style>
  <w:style w:type="paragraph" w:styleId="4">
    <w:name w:val="envelope return"/>
    <w:basedOn w:val="1"/>
    <w:qFormat/>
    <w:uiPriority w:val="0"/>
    <w:pPr>
      <w:snapToGrid w:val="0"/>
    </w:pPr>
    <w:rPr>
      <w:rFonts w:ascii="Arial" w:hAnsi="Arial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customStyle="1" w:styleId="10">
    <w:name w:val="Table Normal"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2" Type="http://schemas.openxmlformats.org/officeDocument/2006/relationships/fontTable" Target="fontTable.xml"/><Relationship Id="rId51" Type="http://schemas.openxmlformats.org/officeDocument/2006/relationships/numbering" Target="numbering.xml"/><Relationship Id="rId50" Type="http://schemas.openxmlformats.org/officeDocument/2006/relationships/customXml" Target="../customXml/item1.xml"/><Relationship Id="rId5" Type="http://schemas.openxmlformats.org/officeDocument/2006/relationships/image" Target="media/image1.jpe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2025-12-05T06:33:23Z</dcterms:created>
  <dc:creator>Administrator</dc:creator>
  <cp:lastModifiedBy>Administrator</cp:lastModifiedBy>
  <dcterms:modified xsi:type="dcterms:W3CDTF">2025-12-05T06:34:16Z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eyJoZGlkIjoiZmMxNjhhMGQ5ZTk1MDI4NjNmM2FlZWRlM2YyNGRkNTQiLCJ1c2VySWQiOiI1Mzg4NjQ1ODQifQ==</vt:lpwstr>
  </property>
  <property fmtid="{D5CDD505-2E9C-101B-9397-08002B2CF9AE}" pid="4" name="ICV">
    <vt:lpwstr>5530CB4C138B4ECE8F980509FE663B35_12</vt:lpwstr>
  </property>
</Properties>
</file>