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E51FF">
      <w:pPr>
        <w:pStyle w:val="2"/>
        <w:spacing w:line="480" w:lineRule="exact"/>
        <w:ind w:right="-72" w:rightChars="-30"/>
        <w:rPr>
          <w:rFonts w:hint="eastAsia" w:ascii="宋体" w:hAnsi="宋体" w:cs="宋体"/>
          <w:color w:val="auto"/>
          <w:highlight w:val="none"/>
        </w:rPr>
      </w:pPr>
      <w:r>
        <w:rPr>
          <w:rFonts w:hint="eastAsia" w:ascii="宋体" w:hAnsi="宋体" w:cs="宋体"/>
          <w:color w:val="auto"/>
          <w:highlight w:val="none"/>
        </w:rPr>
        <w:t>第四章 采购需求</w:t>
      </w:r>
    </w:p>
    <w:p w14:paraId="1B54539C">
      <w:pPr>
        <w:keepNext w:val="0"/>
        <w:keepLines w:val="0"/>
        <w:pageBreakBefore w:val="0"/>
        <w:widowControl/>
        <w:kinsoku/>
        <w:wordWrap/>
        <w:overflowPunct/>
        <w:topLinePunct w:val="0"/>
        <w:autoSpaceDE/>
        <w:autoSpaceDN/>
        <w:bidi w:val="0"/>
        <w:adjustRightInd w:val="0"/>
        <w:snapToGrid/>
        <w:spacing w:line="440" w:lineRule="exact"/>
        <w:textAlignment w:val="auto"/>
        <w:rPr>
          <w:rFonts w:ascii="宋体" w:hAnsi="宋体"/>
          <w:b/>
          <w:color w:val="auto"/>
          <w:kern w:val="0"/>
          <w:sz w:val="21"/>
          <w:szCs w:val="21"/>
          <w:highlight w:val="none"/>
        </w:rPr>
      </w:pPr>
      <w:r>
        <w:rPr>
          <w:rFonts w:hint="eastAsia" w:ascii="宋体" w:hAnsi="宋体"/>
          <w:b/>
          <w:color w:val="auto"/>
          <w:kern w:val="0"/>
          <w:sz w:val="21"/>
          <w:szCs w:val="21"/>
          <w:highlight w:val="none"/>
        </w:rPr>
        <w:t>一、</w:t>
      </w:r>
      <w:r>
        <w:rPr>
          <w:rFonts w:ascii="宋体" w:hAnsi="宋体"/>
          <w:b/>
          <w:color w:val="auto"/>
          <w:kern w:val="0"/>
          <w:sz w:val="21"/>
          <w:szCs w:val="21"/>
          <w:highlight w:val="none"/>
        </w:rPr>
        <w:t>相关说明</w:t>
      </w:r>
    </w:p>
    <w:p w14:paraId="65032C04">
      <w:pPr>
        <w:keepNext w:val="0"/>
        <w:keepLines w:val="0"/>
        <w:pageBreakBefore w:val="0"/>
        <w:widowControl/>
        <w:numPr>
          <w:ilvl w:val="2"/>
          <w:numId w:val="1"/>
        </w:numPr>
        <w:kinsoku/>
        <w:wordWrap/>
        <w:overflowPunct/>
        <w:topLinePunct w:val="0"/>
        <w:autoSpaceDE/>
        <w:autoSpaceDN/>
        <w:bidi w:val="0"/>
        <w:adjustRightInd w:val="0"/>
        <w:snapToGrid/>
        <w:spacing w:line="440" w:lineRule="exact"/>
        <w:ind w:firstLine="420" w:firstLineChars="200"/>
        <w:jc w:val="left"/>
        <w:textAlignment w:val="auto"/>
        <w:rPr>
          <w:rFonts w:hint="eastAsia" w:ascii="宋体" w:hAnsi="宋体"/>
          <w:color w:val="auto"/>
          <w:kern w:val="0"/>
          <w:sz w:val="21"/>
          <w:szCs w:val="21"/>
          <w:highlight w:val="none"/>
        </w:rPr>
      </w:pPr>
      <w:r>
        <w:rPr>
          <w:rFonts w:hint="eastAsia" w:ascii="宋体" w:hAnsi="宋体"/>
          <w:color w:val="auto"/>
          <w:kern w:val="0"/>
          <w:sz w:val="21"/>
          <w:szCs w:val="21"/>
          <w:highlight w:val="none"/>
        </w:rPr>
        <w:t>本次采购内容如果要求的某些技术标准低于国家标准，均以最新的国家标准为准。招标技术要求中未明确的技术标准也均不得低于国家标准；</w:t>
      </w:r>
    </w:p>
    <w:p w14:paraId="5DDD400F">
      <w:pPr>
        <w:keepNext w:val="0"/>
        <w:keepLines w:val="0"/>
        <w:pageBreakBefore w:val="0"/>
        <w:widowControl/>
        <w:numPr>
          <w:ilvl w:val="2"/>
          <w:numId w:val="1"/>
        </w:numPr>
        <w:kinsoku/>
        <w:wordWrap/>
        <w:overflowPunct/>
        <w:topLinePunct w:val="0"/>
        <w:autoSpaceDE/>
        <w:autoSpaceDN/>
        <w:bidi w:val="0"/>
        <w:adjustRightInd w:val="0"/>
        <w:snapToGrid/>
        <w:spacing w:line="440" w:lineRule="exact"/>
        <w:ind w:firstLine="420" w:firstLineChars="200"/>
        <w:jc w:val="left"/>
        <w:textAlignment w:val="auto"/>
        <w:rPr>
          <w:rFonts w:hint="eastAsia" w:ascii="宋体" w:hAnsi="宋体"/>
          <w:color w:val="auto"/>
          <w:kern w:val="0"/>
          <w:sz w:val="21"/>
          <w:szCs w:val="21"/>
          <w:highlight w:val="none"/>
        </w:rPr>
      </w:pPr>
      <w:r>
        <w:rPr>
          <w:rFonts w:ascii="宋体" w:hAnsi="宋体"/>
          <w:color w:val="auto"/>
          <w:kern w:val="0"/>
          <w:sz w:val="21"/>
          <w:szCs w:val="21"/>
          <w:highlight w:val="none"/>
        </w:rPr>
        <w:t>本采购项目为交钥匙项目，</w:t>
      </w:r>
      <w:r>
        <w:rPr>
          <w:rFonts w:hint="eastAsia" w:ascii="宋体" w:hAnsi="宋体"/>
          <w:color w:val="auto"/>
          <w:kern w:val="0"/>
          <w:sz w:val="21"/>
          <w:szCs w:val="21"/>
          <w:highlight w:val="none"/>
        </w:rPr>
        <w:t>验收合格前</w:t>
      </w:r>
      <w:r>
        <w:rPr>
          <w:rFonts w:ascii="宋体" w:hAnsi="宋体"/>
          <w:color w:val="auto"/>
          <w:kern w:val="0"/>
          <w:sz w:val="21"/>
          <w:szCs w:val="21"/>
          <w:highlight w:val="none"/>
        </w:rPr>
        <w:t>所需的一切费用</w:t>
      </w:r>
      <w:r>
        <w:rPr>
          <w:rFonts w:hint="eastAsia" w:ascii="宋体" w:hAnsi="宋体"/>
          <w:color w:val="auto"/>
          <w:kern w:val="0"/>
          <w:sz w:val="21"/>
          <w:szCs w:val="21"/>
          <w:highlight w:val="none"/>
        </w:rPr>
        <w:t>均</w:t>
      </w:r>
      <w:r>
        <w:rPr>
          <w:rFonts w:ascii="宋体" w:hAnsi="宋体"/>
          <w:color w:val="auto"/>
          <w:kern w:val="0"/>
          <w:sz w:val="21"/>
          <w:szCs w:val="21"/>
          <w:highlight w:val="none"/>
        </w:rPr>
        <w:t>包含在报价之中，采购人不</w:t>
      </w:r>
      <w:r>
        <w:rPr>
          <w:rFonts w:hint="eastAsia" w:ascii="宋体" w:hAnsi="宋体"/>
          <w:color w:val="auto"/>
          <w:kern w:val="0"/>
          <w:sz w:val="21"/>
          <w:szCs w:val="21"/>
          <w:highlight w:val="none"/>
        </w:rPr>
        <w:t>承担成交价格以外的</w:t>
      </w:r>
      <w:r>
        <w:rPr>
          <w:rFonts w:ascii="宋体" w:hAnsi="宋体"/>
          <w:color w:val="auto"/>
          <w:kern w:val="0"/>
          <w:sz w:val="21"/>
          <w:szCs w:val="21"/>
          <w:highlight w:val="none"/>
        </w:rPr>
        <w:t>任何费用。</w:t>
      </w:r>
    </w:p>
    <w:p w14:paraId="2082766B">
      <w:pPr>
        <w:keepNext w:val="0"/>
        <w:keepLines w:val="0"/>
        <w:pageBreakBefore w:val="0"/>
        <w:widowControl/>
        <w:kinsoku/>
        <w:wordWrap/>
        <w:overflowPunct/>
        <w:topLinePunct w:val="0"/>
        <w:autoSpaceDE/>
        <w:autoSpaceDN/>
        <w:bidi w:val="0"/>
        <w:adjustRightInd w:val="0"/>
        <w:snapToGrid/>
        <w:spacing w:line="440" w:lineRule="exact"/>
        <w:textAlignment w:val="auto"/>
        <w:rPr>
          <w:rFonts w:hint="eastAsia" w:ascii="宋体" w:hAnsi="宋体"/>
          <w:b/>
          <w:color w:val="auto"/>
          <w:kern w:val="0"/>
          <w:sz w:val="21"/>
          <w:szCs w:val="21"/>
          <w:highlight w:val="none"/>
        </w:rPr>
      </w:pPr>
      <w:r>
        <w:rPr>
          <w:rFonts w:hint="eastAsia" w:ascii="宋体" w:hAnsi="宋体"/>
          <w:b/>
          <w:color w:val="auto"/>
          <w:kern w:val="0"/>
          <w:sz w:val="21"/>
          <w:szCs w:val="21"/>
          <w:highlight w:val="none"/>
        </w:rPr>
        <w:t xml:space="preserve">二、商务要求： </w:t>
      </w:r>
    </w:p>
    <w:p w14:paraId="4CDD13D1">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1.</w:t>
      </w:r>
      <w:r>
        <w:rPr>
          <w:rFonts w:hint="eastAsia" w:ascii="宋体" w:hAnsi="宋体"/>
          <w:color w:val="auto"/>
          <w:sz w:val="21"/>
          <w:szCs w:val="21"/>
          <w:highlight w:val="none"/>
        </w:rPr>
        <w:t>合同履行期限：20日历天</w:t>
      </w:r>
    </w:p>
    <w:p w14:paraId="075D8F74">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2.</w:t>
      </w:r>
      <w:r>
        <w:rPr>
          <w:rFonts w:hint="eastAsia" w:ascii="宋体" w:hAnsi="宋体"/>
          <w:color w:val="auto"/>
          <w:sz w:val="21"/>
          <w:szCs w:val="21"/>
          <w:highlight w:val="none"/>
        </w:rPr>
        <w:t>供货（服务）地点：武陟县</w:t>
      </w:r>
      <w:r>
        <w:rPr>
          <w:rFonts w:hint="eastAsia" w:ascii="宋体" w:hAnsi="宋体"/>
          <w:color w:val="auto"/>
          <w:sz w:val="21"/>
          <w:szCs w:val="21"/>
          <w:highlight w:val="none"/>
          <w:lang w:val="en-US" w:eastAsia="zh-CN"/>
        </w:rPr>
        <w:t>区域内</w:t>
      </w:r>
    </w:p>
    <w:p w14:paraId="25B21574">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color w:val="auto"/>
          <w:sz w:val="21"/>
          <w:szCs w:val="21"/>
          <w:highlight w:val="none"/>
        </w:rPr>
      </w:pPr>
      <w:r>
        <w:rPr>
          <w:rFonts w:ascii="宋体" w:hAnsi="宋体"/>
          <w:color w:val="auto"/>
          <w:sz w:val="21"/>
          <w:szCs w:val="21"/>
          <w:highlight w:val="none"/>
        </w:rPr>
        <w:t>3.</w:t>
      </w:r>
      <w:r>
        <w:rPr>
          <w:rFonts w:hint="eastAsia" w:ascii="宋体" w:hAnsi="宋体"/>
          <w:color w:val="auto"/>
          <w:sz w:val="21"/>
          <w:szCs w:val="21"/>
          <w:highlight w:val="none"/>
        </w:rPr>
        <w:t>质量标准：</w:t>
      </w:r>
      <w:r>
        <w:rPr>
          <w:rFonts w:hint="eastAsia" w:ascii="宋体" w:hAnsi="宋体"/>
          <w:color w:val="auto"/>
          <w:sz w:val="21"/>
          <w:szCs w:val="21"/>
          <w:highlight w:val="none"/>
          <w:lang w:eastAsia="zh-CN"/>
        </w:rPr>
        <w:t>符合国家及行业现行标准、规范，达到采购人要求</w:t>
      </w:r>
    </w:p>
    <w:p w14:paraId="3275E6B6">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4.</w:t>
      </w:r>
      <w:r>
        <w:rPr>
          <w:rFonts w:hint="eastAsia" w:ascii="宋体" w:hAnsi="宋体"/>
          <w:color w:val="auto"/>
          <w:sz w:val="21"/>
          <w:szCs w:val="21"/>
          <w:highlight w:val="none"/>
        </w:rPr>
        <w:t>质量保证期：</w:t>
      </w:r>
      <w:r>
        <w:rPr>
          <w:rFonts w:hint="eastAsia" w:ascii="宋体" w:hAnsi="宋体"/>
          <w:color w:val="auto"/>
          <w:sz w:val="21"/>
          <w:szCs w:val="21"/>
          <w:highlight w:val="none"/>
          <w:lang w:val="en-US" w:eastAsia="zh-CN"/>
        </w:rPr>
        <w:t>1年</w:t>
      </w:r>
    </w:p>
    <w:p w14:paraId="6C44EF49">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5</w:t>
      </w:r>
      <w:r>
        <w:rPr>
          <w:rFonts w:ascii="宋体" w:hAnsi="宋体"/>
          <w:color w:val="auto"/>
          <w:sz w:val="21"/>
          <w:szCs w:val="21"/>
          <w:highlight w:val="none"/>
        </w:rPr>
        <w:t>.</w:t>
      </w:r>
      <w:r>
        <w:rPr>
          <w:rFonts w:hint="eastAsia" w:ascii="宋体" w:hAnsi="宋体"/>
          <w:color w:val="auto"/>
          <w:sz w:val="21"/>
          <w:szCs w:val="21"/>
          <w:highlight w:val="none"/>
        </w:rPr>
        <w:t>付款方式：供货完毕验收合格后一次性付清</w:t>
      </w:r>
    </w:p>
    <w:p w14:paraId="2B2FBCBF">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6.安装要求：</w:t>
      </w:r>
    </w:p>
    <w:p w14:paraId="308C35A2">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6.1验证物品的安装位置和角度是否符合设计要求，以及组件间的布置是否合理。检查物品的连接是否牢固，电缆是否正确连接。对安装后的产品进行性能测试，以验证实际安装效果。</w:t>
      </w:r>
    </w:p>
    <w:p w14:paraId="14F793D4">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6.2保证项目场地清洁符合环境卫生管理的有关规定，交工前应将一切建筑垃圾、施工废弃物清理干净，并运至发包人或政府有关部门指定地点，使完工项目交付发包人后达到正常环境卫生的要求；同时承担因自身原因违反有关规定造成的损失和违约金。</w:t>
      </w:r>
    </w:p>
    <w:p w14:paraId="0B88E5CD">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6.3投标人认真做好施工现场的安全防护工作（包括照明、安全设施等），投标人对安全防护工作负全责（责任和费用）。在实施和完成本项目过程中，投标人应充分关注和保障所有在场人员及行人的安全，采取有效措施，使施工现场和本项目的实施保持有条不紊；为保护本项目免遭损坏，或为现场附近和过往人群的安全与方便，在确有必要的时候和地方，当有关主管部门要求时，投标人应提供照明、警卫、护栅、警告标志等安全防护措施。非施工人员不得进入现场。相关费用已包含在合同价中。发生安全事故，由投标人承担所有责任，发包人不承担任何责任。</w:t>
      </w:r>
    </w:p>
    <w:p w14:paraId="150A342A">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7.验收：</w:t>
      </w:r>
    </w:p>
    <w:p w14:paraId="5D1366D7">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7.1验收不合格的货物，中标人应无条件返工或重做，保证时间不超过5天，逾期予以处罚中标金额的千分之一/天。</w:t>
      </w:r>
    </w:p>
    <w:p w14:paraId="6621DA0C">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7.2中标人在供货及安装过程中，必须服从采购人的计划安排和整体协调。</w:t>
      </w:r>
    </w:p>
    <w:p w14:paraId="6AD8F69B">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7.3中标人负责本项目所有货物的安装以及所有必须的工具及备件等。</w:t>
      </w:r>
    </w:p>
    <w:p w14:paraId="28A31476">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7.4依照国家相关验收规范、招标文件及投标文件要求对全部货物、产品、型号、规格、数量、外型、外观、包装及资料、文件（如装箱单、保修单、随箱介质等）进行验收。</w:t>
      </w:r>
    </w:p>
    <w:p w14:paraId="30315006">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7.5如货物验收时发现货物的参数、质量指标或功能上不符合招标文件和合同要求时，将被视为不合格，采购人有权拒收或要求赔偿。</w:t>
      </w:r>
    </w:p>
    <w:p w14:paraId="07FDBDB8">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7.6验收由采购人组织验收小组、中标人及相关人员依国家有关标准、合同及有关附件要求进行。验收完毕由采购人及中标人在验收报告上签名。必要时邀请相关的专业人员或机构参与验收。中标人提供的货物在质保期内因货物本身的质量问题发生争议时，由本地质量技术监督部门（市场监督部门）鉴定。货物符合质量技术标准的，鉴定费由采购人承担；否则鉴定费由中标人承担。</w:t>
      </w:r>
    </w:p>
    <w:p w14:paraId="734856FB">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7.7最终验收在所有货物安装调试完毕后进行。在此期间中标人须派人员参加，若中标人所供货物出现问题，则中标人应及时维修并做好记录，该记录将作为安装调试的原始资料和验收结论。</w:t>
      </w:r>
    </w:p>
    <w:p w14:paraId="3DD6603D">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8．售后服务要求：</w:t>
      </w:r>
    </w:p>
    <w:p w14:paraId="0D40AAA9">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8.1中标人负责货物的供货、安装调试及验收合格。所有产品保修服务方式均为上门保修，即由中标人派相关资质人员到采购人产品使用现场维修。</w:t>
      </w:r>
    </w:p>
    <w:p w14:paraId="38E723B5">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8.2在质保期内，中标人应无条件提供产品维修及保养服务，一切维护费用均由中标人负责。质保期内产品本身质量出现问题或由于产品本身质量原因造成的任何损伤或损坏，中标人应及时给予维修或更换，由此引起的施工费、人工费、材料费等其它一切费用由中标人负责；不能维修的，整体无条件更换；人为原因造成的损坏只收取配件费不收取人工费。</w:t>
      </w:r>
    </w:p>
    <w:p w14:paraId="1B2D4DE6">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8.3在质保期内，一旦发生质量问题，保证在接到通知日的2小时内进行响应，并能在24小时内组织人员到现场进行检修，确因产品本身质量问题的应能组织人员进行维修、更换或退货处理，费用由中标人负责。产品出现故障48小时不能修复的，免费提供同等功能的货物供采购人使用，直至故障修复。</w:t>
      </w:r>
    </w:p>
    <w:p w14:paraId="6C2999B7">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8.4在质保期内，如产品或零部件因非人为因素出现故障而造成短期停用时，应提供合格的同型号备用产品给采购人维持工作，质保期相应顺延。</w:t>
      </w:r>
    </w:p>
    <w:p w14:paraId="6C7AC991">
      <w:pPr>
        <w:keepNext w:val="0"/>
        <w:keepLines w:val="0"/>
        <w:pageBreakBefore w:val="0"/>
        <w:numPr>
          <w:ilvl w:val="2"/>
          <w:numId w:val="0"/>
        </w:numPr>
        <w:kinsoku/>
        <w:wordWrap/>
        <w:overflowPunct/>
        <w:topLinePunct w:val="0"/>
        <w:autoSpaceDE/>
        <w:autoSpaceDN/>
        <w:bidi w:val="0"/>
        <w:snapToGrid/>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8.5质保期满后，能根据采购人要求提供充足的备品、备件。</w:t>
      </w:r>
    </w:p>
    <w:p w14:paraId="6E66D4D7">
      <w:pPr>
        <w:keepNext w:val="0"/>
        <w:keepLines w:val="0"/>
        <w:pageBreakBefore w:val="0"/>
        <w:widowControl/>
        <w:kinsoku/>
        <w:wordWrap/>
        <w:overflowPunct/>
        <w:topLinePunct w:val="0"/>
        <w:autoSpaceDE/>
        <w:autoSpaceDN/>
        <w:bidi w:val="0"/>
        <w:adjustRightInd w:val="0"/>
        <w:snapToGrid/>
        <w:spacing w:line="440" w:lineRule="exact"/>
        <w:textAlignment w:val="auto"/>
        <w:rPr>
          <w:rFonts w:hint="eastAsia" w:ascii="宋体" w:hAnsi="宋体"/>
          <w:b/>
          <w:color w:val="auto"/>
          <w:kern w:val="0"/>
          <w:sz w:val="21"/>
          <w:szCs w:val="21"/>
          <w:highlight w:val="none"/>
        </w:rPr>
      </w:pPr>
      <w:r>
        <w:rPr>
          <w:rFonts w:hint="eastAsia" w:ascii="宋体" w:hAnsi="宋体"/>
          <w:b/>
          <w:color w:val="auto"/>
          <w:kern w:val="0"/>
          <w:sz w:val="21"/>
          <w:szCs w:val="21"/>
          <w:highlight w:val="none"/>
        </w:rPr>
        <w:t>三、采购内容及技术要求</w:t>
      </w:r>
    </w:p>
    <w:p w14:paraId="6B3BD525">
      <w:pPr>
        <w:keepNext w:val="0"/>
        <w:keepLines w:val="0"/>
        <w:pageBreakBefore w:val="0"/>
        <w:kinsoku/>
        <w:wordWrap/>
        <w:overflowPunct/>
        <w:topLinePunct w:val="0"/>
        <w:autoSpaceDE/>
        <w:autoSpaceDN/>
        <w:bidi w:val="0"/>
        <w:snapToGrid/>
        <w:spacing w:line="440" w:lineRule="exact"/>
        <w:ind w:firstLine="420" w:firstLineChars="200"/>
        <w:jc w:val="left"/>
        <w:textAlignment w:val="auto"/>
        <w:rPr>
          <w:rFonts w:hint="eastAsia" w:ascii="宋体" w:hAnsi="宋体"/>
          <w:color w:val="auto"/>
          <w:sz w:val="21"/>
          <w:szCs w:val="21"/>
          <w:highlight w:val="none"/>
        </w:rPr>
      </w:pPr>
      <w:r>
        <w:rPr>
          <w:rFonts w:hint="eastAsia" w:ascii="宋体" w:hAnsi="宋体"/>
          <w:color w:val="auto"/>
          <w:sz w:val="21"/>
          <w:szCs w:val="21"/>
          <w:highlight w:val="none"/>
        </w:rPr>
        <w:t>1.本项目的核心产品为：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中国结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（核心产品仅适用于本项目同一品牌的认定，同一品牌的认定详见投标人须知）</w:t>
      </w:r>
    </w:p>
    <w:p w14:paraId="52A9E0F5">
      <w:pPr>
        <w:keepNext w:val="0"/>
        <w:keepLines w:val="0"/>
        <w:pageBreakBefore w:val="0"/>
        <w:kinsoku/>
        <w:wordWrap/>
        <w:overflowPunct/>
        <w:topLinePunct w:val="0"/>
        <w:autoSpaceDE/>
        <w:autoSpaceDN/>
        <w:bidi w:val="0"/>
        <w:snapToGrid/>
        <w:spacing w:line="44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2.采购标的名称、数量及具体技术参数如下：</w:t>
      </w:r>
    </w:p>
    <w:p w14:paraId="33C0AD7B">
      <w:pPr>
        <w:pStyle w:val="6"/>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br w:type="page"/>
      </w:r>
    </w:p>
    <w:tbl>
      <w:tblPr>
        <w:tblStyle w:val="4"/>
        <w:tblW w:w="10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1281"/>
        <w:gridCol w:w="4948"/>
        <w:gridCol w:w="933"/>
        <w:gridCol w:w="879"/>
        <w:gridCol w:w="1223"/>
      </w:tblGrid>
      <w:tr w14:paraId="57AE7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765" w:type="dxa"/>
            <w:noWrap w:val="0"/>
            <w:vAlign w:val="center"/>
          </w:tcPr>
          <w:p w14:paraId="0A51DE45">
            <w:pPr>
              <w:pStyle w:val="6"/>
              <w:ind w:left="0" w:leftChars="0" w:firstLine="0" w:firstLineChars="0"/>
              <w:jc w:val="center"/>
              <w:rPr>
                <w:rFonts w:hint="default" w:eastAsia="华文楷体"/>
                <w:b/>
                <w:bCs/>
                <w:color w:val="auto"/>
                <w:highlight w:val="none"/>
                <w:vertAlign w:val="baseline"/>
                <w:lang w:val="en-US" w:eastAsia="zh-CN"/>
              </w:rPr>
            </w:pPr>
            <w:r>
              <w:rPr>
                <w:rFonts w:hint="eastAsia"/>
                <w:b/>
                <w:bCs/>
                <w:color w:val="auto"/>
                <w:highlight w:val="none"/>
                <w:vertAlign w:val="baseline"/>
                <w:lang w:val="en-US" w:eastAsia="zh-CN"/>
              </w:rPr>
              <w:t>序号</w:t>
            </w:r>
          </w:p>
        </w:tc>
        <w:tc>
          <w:tcPr>
            <w:tcW w:w="1281" w:type="dxa"/>
            <w:noWrap w:val="0"/>
            <w:vAlign w:val="center"/>
          </w:tcPr>
          <w:p w14:paraId="2893C9F5">
            <w:pPr>
              <w:pStyle w:val="6"/>
              <w:ind w:left="0" w:leftChars="0" w:firstLine="0" w:firstLineChars="0"/>
              <w:jc w:val="center"/>
              <w:rPr>
                <w:rFonts w:hint="default" w:eastAsia="华文楷体"/>
                <w:b/>
                <w:bCs/>
                <w:color w:val="auto"/>
                <w:highlight w:val="none"/>
                <w:vertAlign w:val="baseline"/>
                <w:lang w:val="en-US" w:eastAsia="zh-CN"/>
              </w:rPr>
            </w:pPr>
            <w:r>
              <w:rPr>
                <w:rFonts w:hint="eastAsia"/>
                <w:b/>
                <w:bCs/>
                <w:color w:val="auto"/>
                <w:highlight w:val="none"/>
                <w:vertAlign w:val="baseline"/>
                <w:lang w:val="en-US" w:eastAsia="zh-CN"/>
              </w:rPr>
              <w:t>标的名称</w:t>
            </w:r>
          </w:p>
        </w:tc>
        <w:tc>
          <w:tcPr>
            <w:tcW w:w="4948" w:type="dxa"/>
            <w:noWrap w:val="0"/>
            <w:vAlign w:val="center"/>
          </w:tcPr>
          <w:p w14:paraId="03DD8323">
            <w:pPr>
              <w:pStyle w:val="6"/>
              <w:ind w:left="0" w:leftChars="0" w:firstLine="0" w:firstLineChars="0"/>
              <w:jc w:val="center"/>
              <w:rPr>
                <w:rFonts w:hint="default" w:eastAsia="华文楷体"/>
                <w:b/>
                <w:bCs/>
                <w:color w:val="auto"/>
                <w:highlight w:val="none"/>
                <w:vertAlign w:val="baseline"/>
                <w:lang w:val="en-US" w:eastAsia="zh-CN"/>
              </w:rPr>
            </w:pPr>
            <w:r>
              <w:rPr>
                <w:rFonts w:hint="eastAsia"/>
                <w:b/>
                <w:bCs/>
                <w:color w:val="auto"/>
                <w:highlight w:val="none"/>
                <w:vertAlign w:val="baseline"/>
                <w:lang w:val="en-US" w:eastAsia="zh-CN"/>
              </w:rPr>
              <w:t>主要技术参数、性能、配置等要求</w:t>
            </w:r>
          </w:p>
        </w:tc>
        <w:tc>
          <w:tcPr>
            <w:tcW w:w="933" w:type="dxa"/>
            <w:noWrap w:val="0"/>
            <w:vAlign w:val="center"/>
          </w:tcPr>
          <w:p w14:paraId="5B351097">
            <w:pPr>
              <w:pStyle w:val="6"/>
              <w:ind w:left="0" w:leftChars="0" w:firstLine="0" w:firstLineChars="0"/>
              <w:jc w:val="center"/>
              <w:rPr>
                <w:rFonts w:hint="eastAsia" w:ascii="华文楷体" w:hAnsi="华文楷体" w:eastAsia="华文楷体" w:cs="华文楷体"/>
                <w:b/>
                <w:bCs/>
                <w:color w:val="auto"/>
                <w:sz w:val="22"/>
                <w:szCs w:val="21"/>
                <w:highlight w:val="none"/>
                <w:vertAlign w:val="baseline"/>
                <w:lang w:val="en-US" w:eastAsia="zh-CN" w:bidi="ar-SA"/>
              </w:rPr>
            </w:pPr>
            <w:r>
              <w:rPr>
                <w:rFonts w:hint="eastAsia"/>
                <w:b/>
                <w:bCs/>
                <w:color w:val="auto"/>
                <w:highlight w:val="none"/>
                <w:vertAlign w:val="baseline"/>
                <w:lang w:val="en-US" w:eastAsia="zh-CN"/>
              </w:rPr>
              <w:t>单位</w:t>
            </w:r>
          </w:p>
        </w:tc>
        <w:tc>
          <w:tcPr>
            <w:tcW w:w="879" w:type="dxa"/>
            <w:noWrap w:val="0"/>
            <w:vAlign w:val="center"/>
          </w:tcPr>
          <w:p w14:paraId="40CD4F3E">
            <w:pPr>
              <w:pStyle w:val="6"/>
              <w:ind w:left="0" w:leftChars="0" w:firstLine="0" w:firstLineChars="0"/>
              <w:jc w:val="center"/>
              <w:rPr>
                <w:rFonts w:hint="default" w:eastAsia="华文楷体"/>
                <w:b/>
                <w:bCs/>
                <w:color w:val="auto"/>
                <w:highlight w:val="none"/>
                <w:vertAlign w:val="baseline"/>
                <w:lang w:val="en-US" w:eastAsia="zh-CN"/>
              </w:rPr>
            </w:pPr>
            <w:r>
              <w:rPr>
                <w:rFonts w:hint="eastAsia"/>
                <w:b/>
                <w:bCs/>
                <w:color w:val="auto"/>
                <w:highlight w:val="none"/>
                <w:vertAlign w:val="baseline"/>
                <w:lang w:val="en-US" w:eastAsia="zh-CN"/>
              </w:rPr>
              <w:t>数量</w:t>
            </w:r>
          </w:p>
        </w:tc>
        <w:tc>
          <w:tcPr>
            <w:tcW w:w="1223" w:type="dxa"/>
            <w:noWrap w:val="0"/>
            <w:vAlign w:val="center"/>
          </w:tcPr>
          <w:p w14:paraId="199ED95B">
            <w:pPr>
              <w:pStyle w:val="6"/>
              <w:ind w:left="0" w:leftChars="0" w:firstLine="0" w:firstLineChars="0"/>
              <w:jc w:val="center"/>
              <w:rPr>
                <w:rFonts w:hint="default" w:eastAsia="华文楷体"/>
                <w:b/>
                <w:bCs/>
                <w:color w:val="auto"/>
                <w:highlight w:val="none"/>
                <w:vertAlign w:val="baseline"/>
                <w:lang w:val="en-US" w:eastAsia="zh-CN"/>
              </w:rPr>
            </w:pPr>
            <w:r>
              <w:rPr>
                <w:rFonts w:hint="eastAsia"/>
                <w:b/>
                <w:bCs/>
                <w:color w:val="auto"/>
                <w:highlight w:val="none"/>
                <w:vertAlign w:val="baseline"/>
                <w:lang w:val="en-US" w:eastAsia="zh-CN"/>
              </w:rPr>
              <w:t>所属行业</w:t>
            </w:r>
          </w:p>
        </w:tc>
      </w:tr>
      <w:tr w14:paraId="5DE00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jc w:val="center"/>
        </w:trPr>
        <w:tc>
          <w:tcPr>
            <w:tcW w:w="765" w:type="dxa"/>
            <w:noWrap w:val="0"/>
            <w:vAlign w:val="center"/>
          </w:tcPr>
          <w:p w14:paraId="43132EB1">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1</w:t>
            </w:r>
          </w:p>
        </w:tc>
        <w:tc>
          <w:tcPr>
            <w:tcW w:w="1281" w:type="dxa"/>
            <w:noWrap w:val="0"/>
            <w:vAlign w:val="center"/>
          </w:tcPr>
          <w:p w14:paraId="554B79AA">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30宫灯</w:t>
            </w:r>
          </w:p>
        </w:tc>
        <w:tc>
          <w:tcPr>
            <w:tcW w:w="4948" w:type="dxa"/>
            <w:noWrap w:val="0"/>
            <w:vAlign w:val="center"/>
          </w:tcPr>
          <w:p w14:paraId="7B8912EC">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产品规格：30公分             </w:t>
            </w:r>
          </w:p>
          <w:p w14:paraId="42948337">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工作电压：AC220V</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产品色温：红 黄</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产品功率：8W</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防护等级：IP65</w:t>
            </w:r>
          </w:p>
        </w:tc>
        <w:tc>
          <w:tcPr>
            <w:tcW w:w="933" w:type="dxa"/>
            <w:noWrap w:val="0"/>
            <w:vAlign w:val="center"/>
          </w:tcPr>
          <w:p w14:paraId="20B92EA4">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2F688FBA">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3500</w:t>
            </w:r>
          </w:p>
        </w:tc>
        <w:tc>
          <w:tcPr>
            <w:tcW w:w="1223" w:type="dxa"/>
            <w:noWrap w:val="0"/>
            <w:vAlign w:val="center"/>
          </w:tcPr>
          <w:p w14:paraId="653B0EEA">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015ED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jc w:val="center"/>
        </w:trPr>
        <w:tc>
          <w:tcPr>
            <w:tcW w:w="765" w:type="dxa"/>
            <w:noWrap w:val="0"/>
            <w:vAlign w:val="center"/>
          </w:tcPr>
          <w:p w14:paraId="5F5F499F">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2</w:t>
            </w:r>
          </w:p>
        </w:tc>
        <w:tc>
          <w:tcPr>
            <w:tcW w:w="1281" w:type="dxa"/>
            <w:noWrap w:val="0"/>
            <w:vAlign w:val="center"/>
          </w:tcPr>
          <w:p w14:paraId="7AB94BF9">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福袋</w:t>
            </w:r>
          </w:p>
        </w:tc>
        <w:tc>
          <w:tcPr>
            <w:tcW w:w="4948" w:type="dxa"/>
            <w:noWrap w:val="0"/>
            <w:vAlign w:val="center"/>
          </w:tcPr>
          <w:p w14:paraId="13E4DF59">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产品规格：22*28CM             </w:t>
            </w:r>
          </w:p>
          <w:p w14:paraId="1221B304">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工作电压：AC220V</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产品色温：红 黄</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产品功率：5W</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防护等级：IP65</w:t>
            </w:r>
          </w:p>
        </w:tc>
        <w:tc>
          <w:tcPr>
            <w:tcW w:w="933" w:type="dxa"/>
            <w:noWrap w:val="0"/>
            <w:vAlign w:val="center"/>
          </w:tcPr>
          <w:p w14:paraId="4DFEA042">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3B22B46F">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1870</w:t>
            </w:r>
          </w:p>
        </w:tc>
        <w:tc>
          <w:tcPr>
            <w:tcW w:w="1223" w:type="dxa"/>
            <w:noWrap w:val="0"/>
            <w:vAlign w:val="center"/>
          </w:tcPr>
          <w:p w14:paraId="1982BEBC">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4F02E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jc w:val="center"/>
        </w:trPr>
        <w:tc>
          <w:tcPr>
            <w:tcW w:w="765" w:type="dxa"/>
            <w:noWrap w:val="0"/>
            <w:vAlign w:val="center"/>
          </w:tcPr>
          <w:p w14:paraId="63581D6F">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3</w:t>
            </w:r>
          </w:p>
        </w:tc>
        <w:tc>
          <w:tcPr>
            <w:tcW w:w="1281" w:type="dxa"/>
            <w:noWrap w:val="0"/>
            <w:vAlign w:val="center"/>
          </w:tcPr>
          <w:p w14:paraId="5368E8EC">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财圆福满</w:t>
            </w:r>
          </w:p>
        </w:tc>
        <w:tc>
          <w:tcPr>
            <w:tcW w:w="4948" w:type="dxa"/>
            <w:noWrap w:val="0"/>
            <w:vAlign w:val="center"/>
          </w:tcPr>
          <w:p w14:paraId="3B2408FF">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产品规格：35*17CM             </w:t>
            </w:r>
          </w:p>
          <w:p w14:paraId="029D1CB7">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工作电压：AC220V</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产品色温：红 黄</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产品功率：5W</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防护等级：IP65</w:t>
            </w:r>
          </w:p>
        </w:tc>
        <w:tc>
          <w:tcPr>
            <w:tcW w:w="933" w:type="dxa"/>
            <w:noWrap w:val="0"/>
            <w:vAlign w:val="center"/>
          </w:tcPr>
          <w:p w14:paraId="32319F83">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691CF70F">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1400</w:t>
            </w:r>
          </w:p>
        </w:tc>
        <w:tc>
          <w:tcPr>
            <w:tcW w:w="1223" w:type="dxa"/>
            <w:noWrap w:val="0"/>
            <w:vAlign w:val="center"/>
          </w:tcPr>
          <w:p w14:paraId="062BFA76">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35833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jc w:val="center"/>
        </w:trPr>
        <w:tc>
          <w:tcPr>
            <w:tcW w:w="765" w:type="dxa"/>
            <w:noWrap w:val="0"/>
            <w:vAlign w:val="center"/>
          </w:tcPr>
          <w:p w14:paraId="7BCB1725">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4</w:t>
            </w:r>
          </w:p>
        </w:tc>
        <w:tc>
          <w:tcPr>
            <w:tcW w:w="1281" w:type="dxa"/>
            <w:noWrap w:val="0"/>
            <w:vAlign w:val="center"/>
          </w:tcPr>
          <w:p w14:paraId="1F89E723">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绕树灯</w:t>
            </w:r>
          </w:p>
        </w:tc>
        <w:tc>
          <w:tcPr>
            <w:tcW w:w="4948" w:type="dxa"/>
            <w:noWrap w:val="0"/>
            <w:vAlign w:val="center"/>
          </w:tcPr>
          <w:p w14:paraId="23E2B324">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产品规格：10米             </w:t>
            </w:r>
          </w:p>
          <w:p w14:paraId="7CEE69B6">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工作电压：AC220V</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产品色温：暖</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产品功率：5W</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防护等级：IP65</w:t>
            </w:r>
          </w:p>
        </w:tc>
        <w:tc>
          <w:tcPr>
            <w:tcW w:w="933" w:type="dxa"/>
            <w:noWrap w:val="0"/>
            <w:vAlign w:val="center"/>
          </w:tcPr>
          <w:p w14:paraId="76CF9AEB">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串</w:t>
            </w:r>
          </w:p>
        </w:tc>
        <w:tc>
          <w:tcPr>
            <w:tcW w:w="879" w:type="dxa"/>
            <w:noWrap w:val="0"/>
            <w:vAlign w:val="center"/>
          </w:tcPr>
          <w:p w14:paraId="4BC0000A">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2700</w:t>
            </w:r>
          </w:p>
        </w:tc>
        <w:tc>
          <w:tcPr>
            <w:tcW w:w="1223" w:type="dxa"/>
            <w:noWrap w:val="0"/>
            <w:vAlign w:val="center"/>
          </w:tcPr>
          <w:p w14:paraId="4A5CD4E8">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31A03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765" w:type="dxa"/>
            <w:noWrap w:val="0"/>
            <w:vAlign w:val="center"/>
          </w:tcPr>
          <w:p w14:paraId="39FBF1A3">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5</w:t>
            </w:r>
          </w:p>
        </w:tc>
        <w:tc>
          <w:tcPr>
            <w:tcW w:w="1281" w:type="dxa"/>
            <w:noWrap w:val="0"/>
            <w:vAlign w:val="center"/>
          </w:tcPr>
          <w:p w14:paraId="44376DF3">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2.5电线</w:t>
            </w:r>
          </w:p>
        </w:tc>
        <w:tc>
          <w:tcPr>
            <w:tcW w:w="4948" w:type="dxa"/>
            <w:noWrap w:val="0"/>
            <w:vAlign w:val="center"/>
          </w:tcPr>
          <w:p w14:paraId="64A9FCF2">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BLVVB2×2.5</w:t>
            </w:r>
          </w:p>
        </w:tc>
        <w:tc>
          <w:tcPr>
            <w:tcW w:w="933" w:type="dxa"/>
            <w:noWrap w:val="0"/>
            <w:vAlign w:val="center"/>
          </w:tcPr>
          <w:p w14:paraId="4EA583D8">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米</w:t>
            </w:r>
          </w:p>
        </w:tc>
        <w:tc>
          <w:tcPr>
            <w:tcW w:w="879" w:type="dxa"/>
            <w:noWrap w:val="0"/>
            <w:vAlign w:val="center"/>
          </w:tcPr>
          <w:p w14:paraId="4539D5E1">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20000</w:t>
            </w:r>
          </w:p>
        </w:tc>
        <w:tc>
          <w:tcPr>
            <w:tcW w:w="1223" w:type="dxa"/>
            <w:noWrap w:val="0"/>
            <w:vAlign w:val="center"/>
          </w:tcPr>
          <w:p w14:paraId="6DDE535C">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1781A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765" w:type="dxa"/>
            <w:noWrap w:val="0"/>
            <w:vAlign w:val="center"/>
          </w:tcPr>
          <w:p w14:paraId="626920A9">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6</w:t>
            </w:r>
          </w:p>
        </w:tc>
        <w:tc>
          <w:tcPr>
            <w:tcW w:w="1281" w:type="dxa"/>
            <w:noWrap w:val="0"/>
            <w:vAlign w:val="center"/>
          </w:tcPr>
          <w:p w14:paraId="477A7587">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1.5电线</w:t>
            </w:r>
          </w:p>
        </w:tc>
        <w:tc>
          <w:tcPr>
            <w:tcW w:w="4948" w:type="dxa"/>
            <w:noWrap w:val="0"/>
            <w:vAlign w:val="center"/>
          </w:tcPr>
          <w:p w14:paraId="322388A9">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RVS2×1.5</w:t>
            </w:r>
          </w:p>
        </w:tc>
        <w:tc>
          <w:tcPr>
            <w:tcW w:w="933" w:type="dxa"/>
            <w:noWrap w:val="0"/>
            <w:vAlign w:val="center"/>
          </w:tcPr>
          <w:p w14:paraId="07B5BC6C">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米</w:t>
            </w:r>
          </w:p>
        </w:tc>
        <w:tc>
          <w:tcPr>
            <w:tcW w:w="879" w:type="dxa"/>
            <w:noWrap w:val="0"/>
            <w:vAlign w:val="center"/>
          </w:tcPr>
          <w:p w14:paraId="2E3F4E8D">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20000</w:t>
            </w:r>
          </w:p>
        </w:tc>
        <w:tc>
          <w:tcPr>
            <w:tcW w:w="1223" w:type="dxa"/>
            <w:noWrap w:val="0"/>
            <w:vAlign w:val="center"/>
          </w:tcPr>
          <w:p w14:paraId="16C0D5E7">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6D4DE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jc w:val="center"/>
        </w:trPr>
        <w:tc>
          <w:tcPr>
            <w:tcW w:w="765" w:type="dxa"/>
            <w:noWrap w:val="0"/>
            <w:vAlign w:val="center"/>
          </w:tcPr>
          <w:p w14:paraId="3EF439ED">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7</w:t>
            </w:r>
          </w:p>
        </w:tc>
        <w:tc>
          <w:tcPr>
            <w:tcW w:w="1281" w:type="dxa"/>
            <w:noWrap w:val="0"/>
            <w:vAlign w:val="center"/>
          </w:tcPr>
          <w:p w14:paraId="36E900C8">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2*3网灯</w:t>
            </w:r>
          </w:p>
        </w:tc>
        <w:tc>
          <w:tcPr>
            <w:tcW w:w="4948" w:type="dxa"/>
            <w:noWrap w:val="0"/>
            <w:vAlign w:val="center"/>
          </w:tcPr>
          <w:p w14:paraId="0376D940">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产品规格：2米*3米             </w:t>
            </w:r>
          </w:p>
          <w:p w14:paraId="430CFA6F">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工作电压：AC220V</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产品色温：暖</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产品功率：5W</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防护等级：IP65</w:t>
            </w:r>
          </w:p>
        </w:tc>
        <w:tc>
          <w:tcPr>
            <w:tcW w:w="933" w:type="dxa"/>
            <w:noWrap w:val="0"/>
            <w:vAlign w:val="center"/>
          </w:tcPr>
          <w:p w14:paraId="2C00F695">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34C37D94">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150</w:t>
            </w:r>
          </w:p>
        </w:tc>
        <w:tc>
          <w:tcPr>
            <w:tcW w:w="1223" w:type="dxa"/>
            <w:noWrap w:val="0"/>
            <w:vAlign w:val="center"/>
          </w:tcPr>
          <w:p w14:paraId="338C4BC8">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5B2BF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jc w:val="center"/>
        </w:trPr>
        <w:tc>
          <w:tcPr>
            <w:tcW w:w="765" w:type="dxa"/>
            <w:noWrap w:val="0"/>
            <w:vAlign w:val="center"/>
          </w:tcPr>
          <w:p w14:paraId="7E962B35">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8</w:t>
            </w:r>
          </w:p>
        </w:tc>
        <w:tc>
          <w:tcPr>
            <w:tcW w:w="1281" w:type="dxa"/>
            <w:noWrap w:val="0"/>
            <w:vAlign w:val="center"/>
          </w:tcPr>
          <w:p w14:paraId="7F37C4CD">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冰条灯</w:t>
            </w:r>
          </w:p>
        </w:tc>
        <w:tc>
          <w:tcPr>
            <w:tcW w:w="4948" w:type="dxa"/>
            <w:noWrap w:val="0"/>
            <w:vAlign w:val="center"/>
          </w:tcPr>
          <w:p w14:paraId="3C3D1FF8">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产品规格：5米             </w:t>
            </w:r>
          </w:p>
          <w:p w14:paraId="48ADE44E">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工作电压：AC220V</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产品色温：暖</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产品功率：8W</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防护等级：IP65</w:t>
            </w:r>
          </w:p>
        </w:tc>
        <w:tc>
          <w:tcPr>
            <w:tcW w:w="933" w:type="dxa"/>
            <w:noWrap w:val="0"/>
            <w:vAlign w:val="center"/>
          </w:tcPr>
          <w:p w14:paraId="18AA2126">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条</w:t>
            </w:r>
          </w:p>
        </w:tc>
        <w:tc>
          <w:tcPr>
            <w:tcW w:w="879" w:type="dxa"/>
            <w:noWrap w:val="0"/>
            <w:vAlign w:val="center"/>
          </w:tcPr>
          <w:p w14:paraId="4D3DD806">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130</w:t>
            </w:r>
          </w:p>
        </w:tc>
        <w:tc>
          <w:tcPr>
            <w:tcW w:w="1223" w:type="dxa"/>
            <w:noWrap w:val="0"/>
            <w:vAlign w:val="center"/>
          </w:tcPr>
          <w:p w14:paraId="21D365EE">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55D8F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1" w:hRule="atLeast"/>
          <w:jc w:val="center"/>
        </w:trPr>
        <w:tc>
          <w:tcPr>
            <w:tcW w:w="765" w:type="dxa"/>
            <w:noWrap w:val="0"/>
            <w:vAlign w:val="center"/>
          </w:tcPr>
          <w:p w14:paraId="256032BF">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9</w:t>
            </w:r>
          </w:p>
        </w:tc>
        <w:tc>
          <w:tcPr>
            <w:tcW w:w="1281" w:type="dxa"/>
            <w:noWrap w:val="0"/>
            <w:vAlign w:val="center"/>
          </w:tcPr>
          <w:p w14:paraId="4C312B40">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宫灯</w:t>
            </w:r>
          </w:p>
        </w:tc>
        <w:tc>
          <w:tcPr>
            <w:tcW w:w="4948" w:type="dxa"/>
            <w:noWrap w:val="0"/>
            <w:vAlign w:val="center"/>
          </w:tcPr>
          <w:p w14:paraId="1C56E58B">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灯笼尺寸：400*850mm</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总体尺寸：750*7765mm</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外壳材质：PE防紫外线防褪色塑料</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支架：1.2mm  20*40mm热镀锌管，无缝焊接，喷塑烤漆，花型压铸立体花，黄色</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光源：10瓦/个*2</w:t>
            </w:r>
          </w:p>
        </w:tc>
        <w:tc>
          <w:tcPr>
            <w:tcW w:w="933" w:type="dxa"/>
            <w:noWrap w:val="0"/>
            <w:vAlign w:val="center"/>
          </w:tcPr>
          <w:p w14:paraId="15F22B04">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03EB0273">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57</w:t>
            </w:r>
          </w:p>
        </w:tc>
        <w:tc>
          <w:tcPr>
            <w:tcW w:w="1223" w:type="dxa"/>
            <w:noWrap w:val="0"/>
            <w:vAlign w:val="center"/>
          </w:tcPr>
          <w:p w14:paraId="486FD062">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66128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1" w:hRule="atLeast"/>
          <w:jc w:val="center"/>
        </w:trPr>
        <w:tc>
          <w:tcPr>
            <w:tcW w:w="765" w:type="dxa"/>
            <w:noWrap w:val="0"/>
            <w:vAlign w:val="center"/>
          </w:tcPr>
          <w:p w14:paraId="2BEC9170">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10</w:t>
            </w:r>
          </w:p>
        </w:tc>
        <w:tc>
          <w:tcPr>
            <w:tcW w:w="1281" w:type="dxa"/>
            <w:noWrap w:val="0"/>
            <w:vAlign w:val="center"/>
          </w:tcPr>
          <w:p w14:paraId="211A8BF1">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中国结</w:t>
            </w:r>
          </w:p>
        </w:tc>
        <w:tc>
          <w:tcPr>
            <w:tcW w:w="4948" w:type="dxa"/>
            <w:noWrap w:val="0"/>
            <w:vAlign w:val="center"/>
          </w:tcPr>
          <w:p w14:paraId="26E0E573">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中国结尺寸：800*985mm</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总体尺寸：885*2100mm</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外壳材质：PP防紫外线防褪色塑料</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支架：1.2mm  20*40mm热镀锌管，无缝焊接，塑烤漆，花型压铸立体花，黄色</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光源：12v低压防水硅胶灯带</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电源：60瓦恒压防水电源</w:t>
            </w:r>
          </w:p>
        </w:tc>
        <w:tc>
          <w:tcPr>
            <w:tcW w:w="933" w:type="dxa"/>
            <w:noWrap w:val="0"/>
            <w:vAlign w:val="center"/>
          </w:tcPr>
          <w:p w14:paraId="6F15FAB4">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10F7E2AA">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95</w:t>
            </w:r>
          </w:p>
        </w:tc>
        <w:tc>
          <w:tcPr>
            <w:tcW w:w="1223" w:type="dxa"/>
            <w:noWrap w:val="0"/>
            <w:vAlign w:val="center"/>
          </w:tcPr>
          <w:p w14:paraId="042424D8">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53A12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5" w:hRule="atLeast"/>
          <w:jc w:val="center"/>
        </w:trPr>
        <w:tc>
          <w:tcPr>
            <w:tcW w:w="765" w:type="dxa"/>
            <w:noWrap w:val="0"/>
            <w:vAlign w:val="center"/>
          </w:tcPr>
          <w:p w14:paraId="4DB05B33">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11</w:t>
            </w:r>
          </w:p>
        </w:tc>
        <w:tc>
          <w:tcPr>
            <w:tcW w:w="1281" w:type="dxa"/>
            <w:noWrap w:val="0"/>
            <w:vAlign w:val="center"/>
          </w:tcPr>
          <w:p w14:paraId="58FEE49F">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3连串灯笼</w:t>
            </w:r>
          </w:p>
        </w:tc>
        <w:tc>
          <w:tcPr>
            <w:tcW w:w="4948" w:type="dxa"/>
            <w:noWrap w:val="0"/>
            <w:vAlign w:val="center"/>
          </w:tcPr>
          <w:p w14:paraId="1797D76B">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灯笼尺寸：580*600mm</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总体尺寸：750*2060mm</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外壳材质：PE防紫外线防褪色塑料</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支架：1.2mm  20*40mm热镀锌管，无缝焊接，喷塑烤漆，黄色</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光源：10瓦/个*3</w:t>
            </w:r>
          </w:p>
        </w:tc>
        <w:tc>
          <w:tcPr>
            <w:tcW w:w="933" w:type="dxa"/>
            <w:noWrap w:val="0"/>
            <w:vAlign w:val="center"/>
          </w:tcPr>
          <w:p w14:paraId="66988BDC">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615A7704">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95</w:t>
            </w:r>
          </w:p>
        </w:tc>
        <w:tc>
          <w:tcPr>
            <w:tcW w:w="1223" w:type="dxa"/>
            <w:noWrap w:val="0"/>
            <w:vAlign w:val="center"/>
          </w:tcPr>
          <w:p w14:paraId="0C52C5D9">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4750A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3" w:hRule="atLeast"/>
          <w:jc w:val="center"/>
        </w:trPr>
        <w:tc>
          <w:tcPr>
            <w:tcW w:w="765" w:type="dxa"/>
            <w:noWrap w:val="0"/>
            <w:vAlign w:val="center"/>
          </w:tcPr>
          <w:p w14:paraId="6E989D8D">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12</w:t>
            </w:r>
          </w:p>
        </w:tc>
        <w:tc>
          <w:tcPr>
            <w:tcW w:w="1281" w:type="dxa"/>
            <w:noWrap w:val="0"/>
            <w:vAlign w:val="center"/>
          </w:tcPr>
          <w:p w14:paraId="518848CD">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2026造型</w:t>
            </w:r>
          </w:p>
        </w:tc>
        <w:tc>
          <w:tcPr>
            <w:tcW w:w="4948" w:type="dxa"/>
            <w:noWrap w:val="0"/>
            <w:vAlign w:val="center"/>
          </w:tcPr>
          <w:p w14:paraId="3B469DEB">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产品规格：总高2.5米             </w:t>
            </w:r>
          </w:p>
          <w:p w14:paraId="0CF729D4">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工作电压：AC220V</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产品色温：暖+红</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产品功率：380W</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防护等级：IP65</w:t>
            </w:r>
          </w:p>
        </w:tc>
        <w:tc>
          <w:tcPr>
            <w:tcW w:w="933" w:type="dxa"/>
            <w:noWrap w:val="0"/>
            <w:vAlign w:val="center"/>
          </w:tcPr>
          <w:p w14:paraId="5895287E">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3708E2A0">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1223" w:type="dxa"/>
            <w:noWrap w:val="0"/>
            <w:vAlign w:val="center"/>
          </w:tcPr>
          <w:p w14:paraId="35DE85DA">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59A30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jc w:val="center"/>
        </w:trPr>
        <w:tc>
          <w:tcPr>
            <w:tcW w:w="765" w:type="dxa"/>
            <w:noWrap w:val="0"/>
            <w:vAlign w:val="center"/>
          </w:tcPr>
          <w:p w14:paraId="00BA0986">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13</w:t>
            </w:r>
          </w:p>
        </w:tc>
        <w:tc>
          <w:tcPr>
            <w:tcW w:w="1281" w:type="dxa"/>
            <w:noWrap w:val="0"/>
            <w:vAlign w:val="center"/>
          </w:tcPr>
          <w:p w14:paraId="4EEA9D65">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新春快乐造型</w:t>
            </w:r>
          </w:p>
        </w:tc>
        <w:tc>
          <w:tcPr>
            <w:tcW w:w="4948" w:type="dxa"/>
            <w:noWrap w:val="0"/>
            <w:vAlign w:val="center"/>
          </w:tcPr>
          <w:p w14:paraId="34214414">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产品规格：总高2.5米             </w:t>
            </w:r>
          </w:p>
          <w:p w14:paraId="13C35BE8">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工作电压：AC220V</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产品色温：暖+红</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产品功率：380W</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防护等级：IP65</w:t>
            </w:r>
          </w:p>
        </w:tc>
        <w:tc>
          <w:tcPr>
            <w:tcW w:w="933" w:type="dxa"/>
            <w:noWrap w:val="0"/>
            <w:vAlign w:val="center"/>
          </w:tcPr>
          <w:p w14:paraId="61B588BA">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7B018EE4">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1223" w:type="dxa"/>
            <w:noWrap w:val="0"/>
            <w:vAlign w:val="center"/>
          </w:tcPr>
          <w:p w14:paraId="65F5E77F">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592E4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jc w:val="center"/>
        </w:trPr>
        <w:tc>
          <w:tcPr>
            <w:tcW w:w="765" w:type="dxa"/>
            <w:noWrap w:val="0"/>
            <w:vAlign w:val="center"/>
          </w:tcPr>
          <w:p w14:paraId="50C8B089">
            <w:pPr>
              <w:pStyle w:val="6"/>
              <w:numPr>
                <w:ilvl w:val="0"/>
                <w:numId w:val="0"/>
              </w:numPr>
              <w:ind w:left="425" w:leftChars="0" w:hanging="425" w:firstLineChars="0"/>
              <w:jc w:val="center"/>
              <w:rPr>
                <w:rFonts w:hint="default" w:eastAsia="华文楷体"/>
                <w:color w:val="auto"/>
                <w:highlight w:val="none"/>
                <w:vertAlign w:val="baseline"/>
                <w:lang w:val="en-US" w:eastAsia="zh-CN"/>
              </w:rPr>
            </w:pPr>
            <w:r>
              <w:rPr>
                <w:rFonts w:hint="default" w:ascii="华文楷体" w:hAnsi="华文楷体" w:eastAsia="华文楷体" w:cs="华文楷体"/>
                <w:color w:val="auto"/>
                <w:sz w:val="22"/>
                <w:szCs w:val="21"/>
                <w:highlight w:val="none"/>
                <w:vertAlign w:val="baseline"/>
                <w:lang w:val="en-US" w:eastAsia="zh-CN" w:bidi="ar-SA"/>
              </w:rPr>
              <w:t>14</w:t>
            </w:r>
          </w:p>
        </w:tc>
        <w:tc>
          <w:tcPr>
            <w:tcW w:w="1281" w:type="dxa"/>
            <w:noWrap w:val="0"/>
            <w:vAlign w:val="center"/>
          </w:tcPr>
          <w:p w14:paraId="0CB75BFF">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五角星</w:t>
            </w:r>
          </w:p>
        </w:tc>
        <w:tc>
          <w:tcPr>
            <w:tcW w:w="4948" w:type="dxa"/>
            <w:noWrap w:val="0"/>
            <w:vAlign w:val="center"/>
          </w:tcPr>
          <w:p w14:paraId="35F47C54">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产品规格：30公分            </w:t>
            </w:r>
          </w:p>
          <w:p w14:paraId="75FE36F9">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工作电压：AC220V</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产品色温：红黄</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产品功率：5W</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防护等级：IP65</w:t>
            </w:r>
          </w:p>
        </w:tc>
        <w:tc>
          <w:tcPr>
            <w:tcW w:w="933" w:type="dxa"/>
            <w:noWrap w:val="0"/>
            <w:vAlign w:val="center"/>
          </w:tcPr>
          <w:p w14:paraId="6D7690F2">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1A6CD03F">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150</w:t>
            </w:r>
          </w:p>
        </w:tc>
        <w:tc>
          <w:tcPr>
            <w:tcW w:w="1223" w:type="dxa"/>
            <w:noWrap w:val="0"/>
            <w:vAlign w:val="center"/>
          </w:tcPr>
          <w:p w14:paraId="7C146DC1">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r w14:paraId="3E122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7" w:hRule="atLeast"/>
          <w:jc w:val="center"/>
        </w:trPr>
        <w:tc>
          <w:tcPr>
            <w:tcW w:w="765" w:type="dxa"/>
            <w:noWrap w:val="0"/>
            <w:vAlign w:val="center"/>
          </w:tcPr>
          <w:p w14:paraId="65E9DFD0">
            <w:pPr>
              <w:pStyle w:val="6"/>
              <w:numPr>
                <w:ilvl w:val="0"/>
                <w:numId w:val="0"/>
              </w:numPr>
              <w:ind w:leftChars="0"/>
              <w:jc w:val="center"/>
              <w:rPr>
                <w:rFonts w:hint="default" w:eastAsia="华文楷体"/>
                <w:color w:val="auto"/>
                <w:highlight w:val="none"/>
                <w:vertAlign w:val="baseline"/>
                <w:lang w:val="en-US" w:eastAsia="zh-CN"/>
              </w:rPr>
            </w:pPr>
            <w:r>
              <w:rPr>
                <w:rFonts w:hint="eastAsia"/>
                <w:color w:val="auto"/>
                <w:highlight w:val="none"/>
                <w:vertAlign w:val="baseline"/>
                <w:lang w:val="en-US" w:eastAsia="zh-CN"/>
              </w:rPr>
              <w:t>15</w:t>
            </w:r>
          </w:p>
        </w:tc>
        <w:tc>
          <w:tcPr>
            <w:tcW w:w="1281" w:type="dxa"/>
            <w:noWrap w:val="0"/>
            <w:vAlign w:val="center"/>
          </w:tcPr>
          <w:p w14:paraId="215880E4">
            <w:pPr>
              <w:keepNext w:val="0"/>
              <w:keepLines w:val="0"/>
              <w:widowControl/>
              <w:suppressLineNumbers w:val="0"/>
              <w:jc w:val="center"/>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节日祝福灯</w:t>
            </w:r>
          </w:p>
        </w:tc>
        <w:tc>
          <w:tcPr>
            <w:tcW w:w="4948" w:type="dxa"/>
            <w:noWrap w:val="0"/>
            <w:vAlign w:val="center"/>
          </w:tcPr>
          <w:p w14:paraId="1919FFFC">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产品规格：30公分            </w:t>
            </w:r>
          </w:p>
          <w:p w14:paraId="54F43A8D">
            <w:pPr>
              <w:keepNext w:val="0"/>
              <w:keepLines w:val="0"/>
              <w:widowControl/>
              <w:suppressLineNumbers w:val="0"/>
              <w:jc w:val="left"/>
              <w:textAlignment w:val="center"/>
              <w:rPr>
                <w:rFonts w:hint="default" w:eastAsia="华文楷体"/>
                <w:color w:val="auto"/>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工作电压：AC220V</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产品色温：红黄</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产品功率：5W</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防护等级：IP66</w:t>
            </w:r>
          </w:p>
        </w:tc>
        <w:tc>
          <w:tcPr>
            <w:tcW w:w="933" w:type="dxa"/>
            <w:noWrap w:val="0"/>
            <w:vAlign w:val="center"/>
          </w:tcPr>
          <w:p w14:paraId="4A2713C0">
            <w:pPr>
              <w:keepNext w:val="0"/>
              <w:keepLines w:val="0"/>
              <w:widowControl/>
              <w:suppressLineNumbers w:val="0"/>
              <w:jc w:val="center"/>
              <w:textAlignment w:val="center"/>
              <w:rPr>
                <w:rFonts w:hint="eastAsia" w:ascii="Book Antiqua" w:hAnsi="Book Antiqua" w:eastAsia="华文楷体" w:cs="宋体"/>
                <w:color w:val="auto"/>
                <w:kern w:val="2"/>
                <w:sz w:val="24"/>
                <w:szCs w:val="24"/>
                <w:highlight w:val="none"/>
                <w:vertAlign w:val="baseli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个</w:t>
            </w:r>
          </w:p>
        </w:tc>
        <w:tc>
          <w:tcPr>
            <w:tcW w:w="879" w:type="dxa"/>
            <w:noWrap w:val="0"/>
            <w:vAlign w:val="center"/>
          </w:tcPr>
          <w:p w14:paraId="2E6373C9">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3720</w:t>
            </w:r>
          </w:p>
        </w:tc>
        <w:tc>
          <w:tcPr>
            <w:tcW w:w="1223" w:type="dxa"/>
            <w:noWrap w:val="0"/>
            <w:vAlign w:val="center"/>
          </w:tcPr>
          <w:p w14:paraId="7C049446">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制造业</w:t>
            </w:r>
          </w:p>
        </w:tc>
      </w:tr>
    </w:tbl>
    <w:p w14:paraId="7204B9F6"/>
    <w:p w14:paraId="01DA147C">
      <w:pPr>
        <w:spacing w:line="360" w:lineRule="auto"/>
        <w:jc w:val="left"/>
        <w:rPr>
          <w:rFonts w:hint="eastAsia" w:ascii="宋体" w:hAnsi="宋体"/>
          <w:b/>
          <w:color w:val="auto"/>
          <w:kern w:val="0"/>
          <w:sz w:val="21"/>
          <w:szCs w:val="21"/>
          <w:highlight w:val="none"/>
        </w:rPr>
      </w:pPr>
      <w:r>
        <w:rPr>
          <w:rFonts w:hint="eastAsia" w:ascii="宋体" w:hAnsi="宋体"/>
          <w:b/>
          <w:color w:val="auto"/>
          <w:kern w:val="0"/>
          <w:sz w:val="21"/>
          <w:szCs w:val="21"/>
          <w:highlight w:val="none"/>
        </w:rPr>
        <w:t>四、需要落实的政府采购政策</w:t>
      </w:r>
    </w:p>
    <w:p w14:paraId="311DEE7D">
      <w:pPr>
        <w:spacing w:line="500" w:lineRule="exact"/>
        <w:rPr>
          <w:rFonts w:hint="eastAsia" w:ascii="宋体" w:hAnsi="宋体"/>
          <w:b/>
          <w:bCs/>
          <w:color w:val="auto"/>
          <w:sz w:val="21"/>
          <w:szCs w:val="21"/>
          <w:highlight w:val="none"/>
        </w:rPr>
      </w:pPr>
      <w:r>
        <w:rPr>
          <w:rFonts w:hint="eastAsia" w:ascii="宋体" w:hAnsi="宋体"/>
          <w:b/>
          <w:bCs/>
          <w:color w:val="auto"/>
          <w:sz w:val="21"/>
          <w:szCs w:val="21"/>
          <w:highlight w:val="none"/>
        </w:rPr>
        <w:t>（一）促进中小企业、监狱企业和残疾人福利性单位发展扶持政策</w:t>
      </w:r>
    </w:p>
    <w:p w14:paraId="1E4C8CDF">
      <w:pPr>
        <w:spacing w:line="500" w:lineRule="exact"/>
        <w:rPr>
          <w:rFonts w:hint="eastAsia" w:ascii="宋体" w:hAnsi="宋体"/>
          <w:bCs/>
          <w:color w:val="auto"/>
          <w:sz w:val="21"/>
          <w:szCs w:val="21"/>
          <w:highlight w:val="none"/>
        </w:rPr>
      </w:pPr>
      <w:r>
        <w:rPr>
          <w:rFonts w:hint="eastAsia" w:ascii="宋体" w:hAnsi="宋体"/>
          <w:b/>
          <w:bCs/>
          <w:color w:val="auto"/>
          <w:sz w:val="21"/>
          <w:szCs w:val="21"/>
          <w:highlight w:val="none"/>
        </w:rPr>
        <w:t>促进中小企业发展扶持政策</w:t>
      </w:r>
      <w:r>
        <w:rPr>
          <w:rFonts w:hint="eastAsia" w:ascii="宋体" w:hAnsi="宋体"/>
          <w:bCs/>
          <w:color w:val="auto"/>
          <w:sz w:val="21"/>
          <w:szCs w:val="21"/>
          <w:highlight w:val="none"/>
        </w:rPr>
        <w:t>：</w:t>
      </w:r>
    </w:p>
    <w:p w14:paraId="44AC3595">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1.中小企业认定：</w:t>
      </w:r>
    </w:p>
    <w:p w14:paraId="74DECFDB">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59979AC6">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符合中小企业划分标准的个体工商户，在政府采购活动中视同中小企业。</w:t>
      </w:r>
    </w:p>
    <w:p w14:paraId="34E673AA">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中小企业划分标准见《关于印发中小企业划型标准规定的通知》（工信部联企业〔2011〕300号）</w:t>
      </w:r>
    </w:p>
    <w:p w14:paraId="63EE575F">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2）在货物采购项目中，货物由中小企业制造，即货物由中小企业生产且使用该中小企业商号或者注册商标；投标人提供的货物既有中小企业制造货物，也有大型企业制造货物的，不享受本招标文件规定的中小企业扶持政策。</w:t>
      </w:r>
    </w:p>
    <w:p w14:paraId="583B9772">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以联合体形式参加政府采购活动，联合体各方均为中小企业的，联合体视同中小企业。其中，联合体各方均为小微企业的，联合体视同小微企业。</w:t>
      </w:r>
    </w:p>
    <w:p w14:paraId="30CD9E93">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投标人当按照招标文件规定出具《中小企业声明函》，否则不享受相关扶持政策；</w:t>
      </w:r>
    </w:p>
    <w:p w14:paraId="79781384">
      <w:pPr>
        <w:spacing w:line="500" w:lineRule="exact"/>
        <w:rPr>
          <w:rFonts w:hint="eastAsia" w:ascii="宋体" w:hAnsi="宋体"/>
          <w:bCs/>
          <w:color w:val="auto"/>
          <w:sz w:val="21"/>
          <w:szCs w:val="21"/>
          <w:highlight w:val="none"/>
        </w:rPr>
      </w:pPr>
      <w:r>
        <w:rPr>
          <w:rFonts w:hint="eastAsia" w:ascii="宋体" w:hAnsi="宋体"/>
          <w:bCs/>
          <w:color w:val="auto"/>
          <w:sz w:val="21"/>
          <w:szCs w:val="21"/>
          <w:highlight w:val="none"/>
        </w:rPr>
        <w:t>　　2.根据财库〔2014〕68号《财政部司法部关于政府采购支持监狱企业发展有关问题的通知》，监狱企业视同小微企业。提供由省级以上监狱管理局、戒毒管理局(含新疆生产建设兵团)出具的属于监狱企业的证明文件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auto"/>
          <w:sz w:val="21"/>
          <w:szCs w:val="21"/>
          <w:highlight w:val="none"/>
        </w:rPr>
        <w:t>（</w:t>
      </w:r>
      <w:r>
        <w:rPr>
          <w:rFonts w:hint="eastAsia" w:ascii="宋体" w:hAnsi="宋体"/>
          <w:b/>
          <w:bCs/>
          <w:color w:val="auto"/>
          <w:kern w:val="0"/>
          <w:sz w:val="21"/>
          <w:szCs w:val="21"/>
          <w:highlight w:val="none"/>
        </w:rPr>
        <w:t>投标文件中附扫描件或复印件</w:t>
      </w:r>
      <w:r>
        <w:rPr>
          <w:rFonts w:hint="eastAsia" w:ascii="宋体" w:hAnsi="宋体"/>
          <w:b/>
          <w:bCs/>
          <w:color w:val="auto"/>
          <w:sz w:val="21"/>
          <w:szCs w:val="21"/>
          <w:highlight w:val="none"/>
        </w:rPr>
        <w:t>）</w:t>
      </w:r>
      <w:r>
        <w:rPr>
          <w:rFonts w:hint="eastAsia" w:ascii="宋体" w:hAnsi="宋体"/>
          <w:bCs/>
          <w:color w:val="auto"/>
          <w:sz w:val="21"/>
          <w:szCs w:val="21"/>
          <w:highlight w:val="none"/>
        </w:rPr>
        <w:t>，不再提供《中小企业声明函》，投标人出具的监狱企业证明文件如有虚假，其成交资格将被取消，并根据相关规定进行处罚。</w:t>
      </w:r>
    </w:p>
    <w:p w14:paraId="2381B787">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14:paraId="62FE5742">
      <w:pPr>
        <w:spacing w:line="500" w:lineRule="exact"/>
        <w:ind w:firstLine="422" w:firstLineChars="200"/>
        <w:rPr>
          <w:rFonts w:hint="eastAsia" w:ascii="宋体" w:hAnsi="宋体"/>
          <w:b/>
          <w:color w:val="auto"/>
          <w:sz w:val="21"/>
          <w:szCs w:val="21"/>
          <w:highlight w:val="none"/>
        </w:rPr>
      </w:pPr>
      <w:r>
        <w:rPr>
          <w:rFonts w:hint="eastAsia" w:ascii="宋体" w:hAnsi="宋体" w:eastAsia="宋体"/>
          <w:b/>
          <w:bCs w:val="0"/>
          <w:color w:val="auto"/>
          <w:sz w:val="21"/>
          <w:szCs w:val="21"/>
          <w:lang w:eastAsia="zh-CN"/>
        </w:rPr>
        <w:t>采购人根据投标人提供的《</w:t>
      </w:r>
      <w:r>
        <w:rPr>
          <w:rFonts w:hint="eastAsia" w:ascii="宋体" w:hAnsi="宋体" w:eastAsia="宋体"/>
          <w:b/>
          <w:bCs w:val="0"/>
          <w:color w:val="auto"/>
          <w:sz w:val="21"/>
          <w:szCs w:val="21"/>
        </w:rPr>
        <w:t>中小企业声明函</w:t>
      </w:r>
      <w:r>
        <w:rPr>
          <w:rFonts w:hint="eastAsia" w:ascii="宋体" w:hAnsi="宋体" w:eastAsia="宋体"/>
          <w:b/>
          <w:bCs w:val="0"/>
          <w:color w:val="auto"/>
          <w:sz w:val="21"/>
          <w:szCs w:val="21"/>
          <w:lang w:eastAsia="zh-CN"/>
        </w:rPr>
        <w:t>》认定该投标人是否属于中小企业，监狱企业和残疾人福利性单位视同小型、微型企业。不属于中小企业、监狱企业或残疾人福利性单位的拒绝参与本项目投标。</w:t>
      </w:r>
    </w:p>
    <w:p w14:paraId="3429B636">
      <w:pPr>
        <w:spacing w:line="500" w:lineRule="exact"/>
        <w:ind w:left="480" w:leftChars="200"/>
        <w:rPr>
          <w:rFonts w:hint="eastAsia" w:ascii="宋体" w:hAnsi="宋体"/>
          <w:b/>
          <w:bCs/>
          <w:color w:val="auto"/>
          <w:sz w:val="21"/>
          <w:szCs w:val="21"/>
          <w:highlight w:val="none"/>
        </w:rPr>
      </w:pPr>
      <w:r>
        <w:rPr>
          <w:rFonts w:hint="eastAsia" w:ascii="宋体" w:hAnsi="宋体"/>
          <w:b/>
          <w:bCs/>
          <w:color w:val="auto"/>
          <w:sz w:val="21"/>
          <w:szCs w:val="21"/>
          <w:highlight w:val="none"/>
        </w:rPr>
        <w:t>（二）节能产品、环境标志产品</w:t>
      </w:r>
    </w:p>
    <w:p w14:paraId="2694A601">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auto"/>
          <w:sz w:val="21"/>
          <w:szCs w:val="21"/>
          <w:highlight w:val="none"/>
        </w:rPr>
        <w:t>（</w:t>
      </w:r>
      <w:r>
        <w:rPr>
          <w:rFonts w:hint="eastAsia" w:ascii="宋体" w:hAnsi="宋体"/>
          <w:b/>
          <w:bCs/>
          <w:color w:val="auto"/>
          <w:kern w:val="0"/>
          <w:sz w:val="21"/>
          <w:szCs w:val="21"/>
          <w:highlight w:val="none"/>
        </w:rPr>
        <w:t>投标文件中附扫描件或复印件</w:t>
      </w:r>
      <w:r>
        <w:rPr>
          <w:rFonts w:hint="eastAsia" w:ascii="宋体" w:hAnsi="宋体"/>
          <w:b/>
          <w:bCs/>
          <w:color w:val="auto"/>
          <w:sz w:val="21"/>
          <w:szCs w:val="21"/>
          <w:highlight w:val="none"/>
        </w:rPr>
        <w:t>）</w:t>
      </w:r>
      <w:r>
        <w:rPr>
          <w:rFonts w:hint="eastAsia" w:ascii="宋体" w:hAnsi="宋体"/>
          <w:bCs/>
          <w:color w:val="auto"/>
          <w:sz w:val="21"/>
          <w:szCs w:val="21"/>
          <w:highlight w:val="none"/>
        </w:rPr>
        <w:t>，否则不予认定。</w:t>
      </w:r>
    </w:p>
    <w:p w14:paraId="0111F2EF">
      <w:pPr>
        <w:numPr>
          <w:ilvl w:val="0"/>
          <w:numId w:val="2"/>
        </w:numPr>
        <w:spacing w:line="500" w:lineRule="exact"/>
        <w:ind w:left="480" w:leftChars="200"/>
        <w:rPr>
          <w:rFonts w:hint="eastAsia" w:ascii="宋体" w:hAnsi="宋体"/>
          <w:b/>
          <w:bCs/>
          <w:color w:val="auto"/>
          <w:sz w:val="21"/>
          <w:szCs w:val="21"/>
          <w:highlight w:val="none"/>
        </w:rPr>
      </w:pPr>
      <w:r>
        <w:rPr>
          <w:rFonts w:hint="eastAsia" w:ascii="宋体" w:hAnsi="宋体" w:cs="宋体"/>
          <w:b/>
          <w:bCs/>
          <w:color w:val="auto"/>
          <w:kern w:val="2"/>
          <w:sz w:val="21"/>
          <w:szCs w:val="21"/>
          <w:lang w:val="en-US" w:eastAsia="zh-CN" w:bidi="ar-SA"/>
        </w:rPr>
        <w:t>落实</w:t>
      </w:r>
      <w:r>
        <w:rPr>
          <w:rFonts w:hint="eastAsia" w:ascii="宋体" w:hAnsi="宋体"/>
          <w:b/>
          <w:bCs/>
          <w:color w:val="auto"/>
          <w:sz w:val="21"/>
          <w:szCs w:val="21"/>
          <w:highlight w:val="none"/>
        </w:rPr>
        <w:t>政府采购中实施本国产品标准及相关政策</w:t>
      </w:r>
    </w:p>
    <w:p w14:paraId="7F52549B">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一、本国产品标准</w:t>
      </w:r>
    </w:p>
    <w:p w14:paraId="780F92DA">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本国产品应当符合以下条件：</w:t>
      </w:r>
    </w:p>
    <w:p w14:paraId="5164A14B">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（一）在中国境内生产</w:t>
      </w:r>
    </w:p>
    <w:p w14:paraId="0575368F">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产品应当在中国境内生产，即在中华人民共和国关境内实现从原材料、组件到产品的属性改变。</w:t>
      </w:r>
    </w:p>
    <w:p w14:paraId="27DA4E08">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属性改变是指经过制造、加工或者组装等工序，产生完全不同于原材料、组件的新产品，并具有新的名称和特征（用途）。属性改变不包括以下细微操作：</w:t>
      </w:r>
    </w:p>
    <w:p w14:paraId="289A7141">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1.为确保产品在运输或者储存期间保持某种状态而进行的操作；</w:t>
      </w:r>
    </w:p>
    <w:p w14:paraId="6A79F285">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2.为产品运输或者销售进行的包装或者展示；</w:t>
      </w:r>
    </w:p>
    <w:p w14:paraId="533C3001">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3.在产品或者其包装上粘贴或者印刷品牌、标志、标识以及其他用于区别的标记；</w:t>
      </w:r>
    </w:p>
    <w:p w14:paraId="3EF0470F">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4.简单的上漆、磨光和分装；</w:t>
      </w:r>
    </w:p>
    <w:p w14:paraId="49CC54C0">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5.其他不属于属性改变的情形。</w:t>
      </w:r>
    </w:p>
    <w:p w14:paraId="58110901">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（二）在中国境内生产的组件成本占比达到规定比例</w:t>
      </w:r>
    </w:p>
    <w:p w14:paraId="4BE2362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rPr>
        <w:t>产品在中国境内生产的组件成本占比应当达到规定比例，计算公式为：</w:t>
      </w:r>
    </w:p>
    <w:p w14:paraId="497BBFD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rPr>
        <w:fldChar w:fldCharType="begin"/>
      </w:r>
      <w:r>
        <w:rPr>
          <w:rFonts w:hint="eastAsia" w:ascii="宋体" w:hAnsi="宋体"/>
          <w:bCs/>
          <w:color w:val="auto"/>
          <w:sz w:val="21"/>
          <w:szCs w:val="21"/>
          <w:highlight w:val="none"/>
        </w:rPr>
        <w:instrText xml:space="preserve">INCLUDEPICTURE \d "https://www.gov.cn/zhengce/content/202509/W020250930645245947614.png" \* MERGEFORMATINET </w:instrText>
      </w:r>
      <w:r>
        <w:rPr>
          <w:rFonts w:hint="eastAsia" w:ascii="宋体" w:hAnsi="宋体"/>
          <w:bCs/>
          <w:color w:val="auto"/>
          <w:sz w:val="21"/>
          <w:szCs w:val="21"/>
          <w:highlight w:val="none"/>
        </w:rPr>
        <w:fldChar w:fldCharType="separate"/>
      </w:r>
      <w:r>
        <w:rPr>
          <w:rFonts w:hint="eastAsia" w:ascii="宋体" w:hAnsi="宋体"/>
          <w:bCs/>
          <w:color w:val="auto"/>
          <w:sz w:val="21"/>
          <w:szCs w:val="21"/>
          <w:highlight w:val="none"/>
        </w:rPr>
        <w:drawing>
          <wp:inline distT="0" distB="0" distL="114300" distR="114300">
            <wp:extent cx="3980180" cy="628650"/>
            <wp:effectExtent l="0" t="0" r="12700" b="1143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980180" cy="628650"/>
                    </a:xfrm>
                    <a:prstGeom prst="rect">
                      <a:avLst/>
                    </a:prstGeom>
                    <a:noFill/>
                    <a:ln>
                      <a:noFill/>
                    </a:ln>
                  </pic:spPr>
                </pic:pic>
              </a:graphicData>
            </a:graphic>
          </wp:inline>
        </w:drawing>
      </w:r>
      <w:r>
        <w:rPr>
          <w:rFonts w:hint="eastAsia" w:ascii="宋体" w:hAnsi="宋体"/>
          <w:bCs/>
          <w:color w:val="auto"/>
          <w:sz w:val="21"/>
          <w:szCs w:val="21"/>
          <w:highlight w:val="none"/>
        </w:rPr>
        <w:fldChar w:fldCharType="end"/>
      </w:r>
    </w:p>
    <w:p w14:paraId="47A85D24">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财政部会同有关行业主管部门，分产品确定在中国境内生产的组件成本占比应当达到的规定比例。在分产品的中国境内生产的组件成本占比相关要求实施前，符合本通知第一条第（一）项条件的产品在政府采购活动中视同本国产品。</w:t>
      </w:r>
    </w:p>
    <w:p w14:paraId="4ACB2AA1">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（三）特定产品的关键组件、关键工序符合相关要求</w:t>
      </w:r>
    </w:p>
    <w:p w14:paraId="4620C00F">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对特定产品，在符合本通知第一条第（一）项和第（二）项条件的基础上，应当符合财政部会同有关行业主管部门确定的其关键组件、关键工序在中国境内生产、完成等要求。</w:t>
      </w:r>
    </w:p>
    <w:p w14:paraId="0B56D83E">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财政部会同有关行业主管部门自本通知施行之日起5年内，在充分征求有关内外资企业、行业协会商会等方面意见的基础上，分类施策、稳妥推进，分产品确定在中国境内生产的组件成本占比要求，以及特定产品的关键组件、关键工序相关要求，并根据不同行业的发展情况，在出台具体产品相关要求时，设置3—5年过渡期，逐步建立政府采购中本国产品标准体系和动态调整机制。</w:t>
      </w:r>
    </w:p>
    <w:p w14:paraId="5C1A5CB2">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二、本国产品标准的适用范围</w:t>
      </w:r>
    </w:p>
    <w:p w14:paraId="4B0B8678">
      <w:pPr>
        <w:spacing w:line="500" w:lineRule="exact"/>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14:paraId="1040C958">
      <w:pPr>
        <w:spacing w:line="500" w:lineRule="exact"/>
        <w:ind w:firstLine="420" w:firstLineChars="200"/>
        <w:rPr>
          <w:rFonts w:hint="eastAsia" w:ascii="宋体" w:hAnsi="宋体"/>
          <w:bCs/>
          <w:color w:val="auto"/>
          <w:sz w:val="21"/>
          <w:szCs w:val="21"/>
          <w:highlight w:val="none"/>
          <w:lang w:eastAsia="zh-CN"/>
        </w:rPr>
      </w:pPr>
      <w:r>
        <w:rPr>
          <w:rFonts w:hint="eastAsia" w:ascii="宋体" w:hAnsi="宋体"/>
          <w:bCs/>
          <w:color w:val="auto"/>
          <w:sz w:val="21"/>
          <w:szCs w:val="21"/>
          <w:highlight w:val="none"/>
          <w:lang w:eastAsia="zh-CN"/>
        </w:rPr>
        <w:t>三、</w:t>
      </w:r>
      <w:r>
        <w:rPr>
          <w:rFonts w:hint="eastAsia" w:ascii="宋体" w:hAnsi="宋体"/>
          <w:bCs/>
          <w:color w:val="auto"/>
          <w:sz w:val="21"/>
          <w:szCs w:val="21"/>
          <w:highlight w:val="none"/>
          <w:lang w:val="en-US" w:eastAsia="zh-CN"/>
        </w:rPr>
        <w:t>投标人所出具的《关于符合本国产品标准的声明函》内容含义不明确、同类事项与投标（响应）文件表述不一致或者有明显文字错误等情况的，评审专家应当以书面形式要求投标人作出必要的澄清、说明或者补正。经澄清、说明或者补正的《声明函》仍然不符合《通知》规定要求的，投标人提供的相关产品视为不符合本国产品标准。</w:t>
      </w:r>
    </w:p>
    <w:p w14:paraId="12DC601B">
      <w:pPr>
        <w:spacing w:line="500" w:lineRule="exact"/>
        <w:ind w:firstLine="422" w:firstLineChars="200"/>
        <w:rPr>
          <w:rFonts w:hint="eastAsia"/>
          <w:color w:val="auto"/>
          <w:highlight w:val="none"/>
        </w:rPr>
      </w:pPr>
      <w:r>
        <w:rPr>
          <w:rFonts w:hint="eastAsia" w:ascii="宋体" w:hAnsi="宋体" w:eastAsia="宋体"/>
          <w:b/>
          <w:bCs w:val="0"/>
          <w:color w:val="auto"/>
          <w:sz w:val="21"/>
          <w:szCs w:val="21"/>
          <w:lang w:eastAsia="zh-CN"/>
        </w:rPr>
        <w:t>采购人根据投标人提供的《关于符合本国产品标准的声明函》或</w:t>
      </w:r>
      <w:r>
        <w:rPr>
          <w:rFonts w:hint="eastAsia" w:ascii="宋体" w:hAnsi="宋体" w:eastAsia="宋体"/>
          <w:b/>
          <w:bCs w:val="0"/>
          <w:color w:val="auto"/>
          <w:sz w:val="21"/>
          <w:szCs w:val="21"/>
          <w:lang w:val="en-US" w:eastAsia="zh-CN"/>
        </w:rPr>
        <w:t>财政部会同有关部门规定的有关证明文件，</w:t>
      </w:r>
      <w:r>
        <w:rPr>
          <w:rFonts w:hint="eastAsia" w:ascii="宋体" w:hAnsi="宋体" w:eastAsia="宋体"/>
          <w:b/>
          <w:bCs w:val="0"/>
          <w:color w:val="auto"/>
          <w:sz w:val="21"/>
          <w:szCs w:val="21"/>
          <w:lang w:eastAsia="zh-CN"/>
        </w:rPr>
        <w:t>认定该投标人</w:t>
      </w:r>
      <w:r>
        <w:rPr>
          <w:rFonts w:hint="eastAsia" w:ascii="宋体" w:hAnsi="宋体" w:eastAsia="宋体"/>
          <w:b/>
          <w:bCs w:val="0"/>
          <w:color w:val="auto"/>
          <w:sz w:val="21"/>
          <w:szCs w:val="21"/>
          <w:lang w:val="en-US" w:eastAsia="zh-CN"/>
        </w:rPr>
        <w:t>所投货物</w:t>
      </w:r>
      <w:r>
        <w:rPr>
          <w:rFonts w:hint="eastAsia" w:ascii="宋体" w:hAnsi="宋体" w:eastAsia="宋体"/>
          <w:b/>
          <w:bCs w:val="0"/>
          <w:color w:val="auto"/>
          <w:sz w:val="21"/>
          <w:szCs w:val="21"/>
          <w:lang w:eastAsia="zh-CN"/>
        </w:rPr>
        <w:t>是否属</w:t>
      </w:r>
      <w:r>
        <w:rPr>
          <w:rFonts w:hint="eastAsia" w:ascii="宋体" w:hAnsi="宋体" w:eastAsia="宋体"/>
          <w:b/>
          <w:bCs w:val="0"/>
          <w:color w:val="auto"/>
          <w:sz w:val="21"/>
          <w:szCs w:val="21"/>
          <w:lang w:val="en-US" w:eastAsia="zh-CN"/>
        </w:rPr>
        <w:t>符合本国产品标准</w:t>
      </w:r>
      <w:r>
        <w:rPr>
          <w:rFonts w:hint="eastAsia" w:ascii="宋体" w:hAnsi="宋体" w:eastAsia="宋体"/>
          <w:b/>
          <w:bCs w:val="0"/>
          <w:color w:val="auto"/>
          <w:sz w:val="21"/>
          <w:szCs w:val="21"/>
          <w:lang w:eastAsia="zh-CN"/>
        </w:rPr>
        <w:t>，不</w:t>
      </w:r>
      <w:r>
        <w:rPr>
          <w:rFonts w:hint="eastAsia" w:ascii="宋体" w:hAnsi="宋体" w:eastAsia="宋体"/>
          <w:b/>
          <w:bCs w:val="0"/>
          <w:color w:val="auto"/>
          <w:sz w:val="21"/>
          <w:szCs w:val="21"/>
          <w:lang w:val="en-US" w:eastAsia="zh-CN"/>
        </w:rPr>
        <w:t>符合本国产品标准</w:t>
      </w:r>
      <w:r>
        <w:rPr>
          <w:rFonts w:hint="eastAsia" w:ascii="宋体" w:hAnsi="宋体" w:eastAsia="宋体"/>
          <w:b/>
          <w:bCs w:val="0"/>
          <w:color w:val="auto"/>
          <w:sz w:val="21"/>
          <w:szCs w:val="21"/>
          <w:lang w:eastAsia="zh-CN"/>
        </w:rPr>
        <w:t>的单位拒绝参与本项目投标。</w:t>
      </w:r>
    </w:p>
    <w:p w14:paraId="229F93A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7CEA20B2"/>
    <w:multiLevelType w:val="singleLevel"/>
    <w:tmpl w:val="7CEA20B2"/>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E0F36"/>
    <w:rsid w:val="189E0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宋体"/>
      <w:kern w:val="2"/>
      <w:sz w:val="24"/>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qFormat/>
    <w:uiPriority w:val="0"/>
    <w:pPr>
      <w:spacing w:before="240" w:beforeLines="0" w:after="60" w:afterLines="0"/>
      <w:jc w:val="center"/>
      <w:outlineLvl w:val="0"/>
    </w:pPr>
    <w:rPr>
      <w:rFonts w:ascii="Arial" w:hAnsi="Arial" w:eastAsia="宋体" w:cs="Arial"/>
      <w:b/>
      <w:bCs/>
      <w:sz w:val="32"/>
      <w:szCs w:val="32"/>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2026-01-09T09:46:00Z</dcterms:created>
  <dc:creator>hnbaj</dc:creator>
  <cp:lastModifiedBy>hnbaj</cp:lastModifiedBy>
  <dcterms:modified xsi:type="dcterms:W3CDTF">2026-01-09T09:47:36Z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4D0C962F6FE24809A82D9734D825202D_11</vt:lpwstr>
  </property>
  <property fmtid="{D5CDD505-2E9C-101B-9397-08002B2CF9AE}" pid="4" name="KSOTemplateDocerSaveRecord">
    <vt:lpwstr>eyJoZGlkIjoiMWJmYmVhMGQ2YWQwOTc0ZDFkYmVkZTE0NzFkNThlYzIiLCJ1c2VySWQiOiI2NzMzNDkxNDEifQ==</vt:lpwstr>
  </property>
</Properties>
</file>