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1F" w:rsidRDefault="00416C1F" w:rsidP="00416C1F">
      <w:pPr>
        <w:pStyle w:val="a5"/>
        <w:spacing w:line="480" w:lineRule="exact"/>
        <w:ind w:rightChars="-30" w:right="-63" w:firstLineChars="1200" w:firstLine="3855"/>
        <w:jc w:val="both"/>
        <w:rPr>
          <w:rFonts w:ascii="宋体" w:hAnsi="宋体"/>
        </w:rPr>
      </w:pPr>
      <w:r>
        <w:rPr>
          <w:rFonts w:ascii="宋体" w:hAnsi="宋体" w:hint="eastAsia"/>
        </w:rPr>
        <w:t>采购需求</w:t>
      </w:r>
    </w:p>
    <w:p w:rsidR="00416C1F" w:rsidRDefault="00416C1F" w:rsidP="00416C1F">
      <w:pPr>
        <w:widowControl/>
        <w:numPr>
          <w:ilvl w:val="3"/>
          <w:numId w:val="1"/>
        </w:numPr>
        <w:adjustRightInd w:val="0"/>
        <w:snapToGrid w:val="0"/>
        <w:spacing w:line="400" w:lineRule="exact"/>
        <w:rPr>
          <w:rFonts w:ascii="宋体" w:hAnsi="宋体" w:hint="eastAsia"/>
          <w:b/>
          <w:bCs/>
          <w:color w:val="000000"/>
          <w:kern w:val="0"/>
          <w:sz w:val="32"/>
          <w:szCs w:val="32"/>
        </w:rPr>
      </w:pPr>
      <w:r>
        <w:rPr>
          <w:rFonts w:ascii="宋体" w:hAnsi="宋体" w:hint="eastAsia"/>
          <w:b/>
          <w:bCs/>
          <w:color w:val="000000"/>
          <w:kern w:val="0"/>
          <w:sz w:val="32"/>
          <w:szCs w:val="32"/>
        </w:rPr>
        <w:t>相关说明</w:t>
      </w:r>
    </w:p>
    <w:p w:rsidR="00416C1F" w:rsidRDefault="00416C1F" w:rsidP="00416C1F">
      <w:pPr>
        <w:widowControl/>
        <w:numPr>
          <w:ilvl w:val="2"/>
          <w:numId w:val="2"/>
        </w:numPr>
        <w:adjustRightInd w:val="0"/>
        <w:snapToGrid w:val="0"/>
        <w:spacing w:line="400" w:lineRule="exact"/>
        <w:ind w:firstLineChars="200" w:firstLine="420"/>
        <w:jc w:val="left"/>
        <w:rPr>
          <w:rFonts w:ascii="宋体" w:hAnsi="宋体" w:hint="eastAsia"/>
          <w:color w:val="000000"/>
          <w:kern w:val="0"/>
        </w:rPr>
      </w:pPr>
      <w:r>
        <w:rPr>
          <w:rFonts w:ascii="宋体" w:hAnsi="宋体" w:hint="eastAsia"/>
          <w:color w:val="000000"/>
          <w:kern w:val="0"/>
        </w:rPr>
        <w:t>招标文件中列出的质量技术参数或型号与某产品相同时仅作为投标人选择投标产品时在质量水平上的参考，不强制采购某一特定产品，投标人可提供符合采购需求或更优的产品及方案。</w:t>
      </w:r>
    </w:p>
    <w:p w:rsidR="00416C1F" w:rsidRDefault="00416C1F" w:rsidP="00416C1F">
      <w:pPr>
        <w:widowControl/>
        <w:numPr>
          <w:ilvl w:val="2"/>
          <w:numId w:val="2"/>
        </w:numPr>
        <w:adjustRightInd w:val="0"/>
        <w:snapToGrid w:val="0"/>
        <w:spacing w:line="400" w:lineRule="exact"/>
        <w:ind w:firstLineChars="200" w:firstLine="420"/>
        <w:jc w:val="left"/>
        <w:rPr>
          <w:rFonts w:ascii="宋体" w:hAnsi="宋体" w:hint="eastAsia"/>
          <w:color w:val="000000"/>
          <w:kern w:val="0"/>
        </w:rPr>
      </w:pPr>
      <w:r>
        <w:rPr>
          <w:rFonts w:ascii="宋体" w:hAnsi="宋体" w:hint="eastAsia"/>
          <w:color w:val="000000"/>
          <w:kern w:val="0"/>
        </w:rPr>
        <w:t>本次采购内容如果要求的某些技术标准低于国家标准，均以最新的国家标准为准。招标技术要求中未明确的技术标准也均不得低于国家标准；</w:t>
      </w:r>
    </w:p>
    <w:p w:rsidR="00416C1F" w:rsidRDefault="00416C1F" w:rsidP="00416C1F">
      <w:pPr>
        <w:widowControl/>
        <w:snapToGrid w:val="0"/>
        <w:spacing w:line="400" w:lineRule="exact"/>
        <w:ind w:firstLineChars="200" w:firstLine="422"/>
        <w:jc w:val="left"/>
        <w:rPr>
          <w:rFonts w:ascii="宋体" w:hAnsi="宋体" w:hint="eastAsia"/>
          <w:b/>
          <w:bCs/>
          <w:color w:val="0000FF"/>
          <w:kern w:val="0"/>
        </w:rPr>
      </w:pPr>
      <w:r>
        <w:rPr>
          <w:rFonts w:ascii="宋体" w:hAnsi="宋体" w:hint="eastAsia"/>
          <w:b/>
          <w:bCs/>
          <w:color w:val="0000FF"/>
          <w:kern w:val="0"/>
        </w:rPr>
        <w:t>本次采购产品如在国家强制性认证范围内的必须取得国家强制性CCC认证（提供CCC认证证书，投标文件商务、技术证明文件正本中提供复印件加盖投标人或生产厂家公章，副本可为正本复印件）。</w:t>
      </w:r>
    </w:p>
    <w:p w:rsidR="00416C1F" w:rsidRDefault="00416C1F" w:rsidP="00416C1F">
      <w:pPr>
        <w:widowControl/>
        <w:numPr>
          <w:ilvl w:val="2"/>
          <w:numId w:val="2"/>
        </w:numPr>
        <w:adjustRightInd w:val="0"/>
        <w:snapToGrid w:val="0"/>
        <w:spacing w:line="400" w:lineRule="exact"/>
        <w:ind w:firstLineChars="200" w:firstLine="420"/>
        <w:jc w:val="left"/>
        <w:rPr>
          <w:rFonts w:ascii="宋体" w:hAnsi="宋体" w:hint="eastAsia"/>
          <w:color w:val="000000"/>
          <w:kern w:val="0"/>
        </w:rPr>
      </w:pPr>
      <w:r>
        <w:rPr>
          <w:rFonts w:ascii="宋体" w:hAnsi="宋体" w:hint="eastAsia"/>
          <w:color w:val="000000"/>
          <w:kern w:val="0"/>
        </w:rPr>
        <w:t>本采购项目为交钥匙项目，验收合格前所需的一切费用均包含在报价之中，采购人不承担成交价格以外的任何费用。</w:t>
      </w:r>
    </w:p>
    <w:p w:rsidR="00416C1F" w:rsidRDefault="00416C1F" w:rsidP="00416C1F">
      <w:pPr>
        <w:widowControl/>
        <w:numPr>
          <w:ilvl w:val="3"/>
          <w:numId w:val="1"/>
        </w:numPr>
        <w:adjustRightInd w:val="0"/>
        <w:snapToGrid w:val="0"/>
        <w:spacing w:line="400" w:lineRule="exact"/>
        <w:rPr>
          <w:rFonts w:ascii="宋体" w:hAnsi="宋体" w:hint="eastAsia"/>
          <w:b/>
          <w:bCs/>
          <w:color w:val="000000"/>
          <w:kern w:val="0"/>
          <w:sz w:val="32"/>
          <w:szCs w:val="32"/>
        </w:rPr>
      </w:pPr>
      <w:r>
        <w:rPr>
          <w:rFonts w:ascii="宋体" w:hAnsi="宋体" w:hint="eastAsia"/>
          <w:b/>
          <w:bCs/>
          <w:color w:val="000000"/>
          <w:kern w:val="0"/>
          <w:sz w:val="32"/>
          <w:szCs w:val="32"/>
        </w:rPr>
        <w:t>商务要求：</w:t>
      </w:r>
    </w:p>
    <w:p w:rsidR="00416C1F" w:rsidRDefault="00416C1F" w:rsidP="00416C1F">
      <w:pPr>
        <w:numPr>
          <w:ilvl w:val="2"/>
          <w:numId w:val="3"/>
        </w:numPr>
        <w:spacing w:line="400" w:lineRule="exact"/>
        <w:ind w:firstLineChars="200" w:firstLine="420"/>
        <w:rPr>
          <w:rFonts w:ascii="宋体" w:hAnsi="宋体" w:hint="eastAsia"/>
          <w:color w:val="FF0000"/>
        </w:rPr>
      </w:pPr>
      <w:r>
        <w:rPr>
          <w:rFonts w:ascii="宋体" w:hAnsi="宋体" w:hint="eastAsia"/>
          <w:color w:val="FF0000"/>
        </w:rPr>
        <w:t>供货安装期：20日历天</w:t>
      </w:r>
      <w:r>
        <w:rPr>
          <w:rFonts w:ascii="宋体" w:hAnsi="宋体" w:hint="eastAsia"/>
          <w:color w:val="FF0000"/>
        </w:rPr>
        <w:tab/>
      </w:r>
      <w:r>
        <w:rPr>
          <w:rFonts w:ascii="宋体" w:hAnsi="宋体" w:hint="eastAsia"/>
          <w:color w:val="FF0000"/>
        </w:rPr>
        <w:tab/>
      </w:r>
    </w:p>
    <w:p w:rsidR="00416C1F" w:rsidRDefault="00416C1F" w:rsidP="00416C1F">
      <w:pPr>
        <w:numPr>
          <w:ilvl w:val="2"/>
          <w:numId w:val="3"/>
        </w:numPr>
        <w:spacing w:line="400" w:lineRule="exact"/>
        <w:ind w:firstLineChars="200" w:firstLine="420"/>
        <w:rPr>
          <w:rFonts w:ascii="宋体" w:hAnsi="宋体" w:hint="eastAsia"/>
          <w:color w:val="FF0000"/>
        </w:rPr>
      </w:pPr>
      <w:r>
        <w:rPr>
          <w:rFonts w:ascii="宋体" w:hAnsi="宋体" w:hint="eastAsia"/>
          <w:color w:val="FF0000"/>
        </w:rPr>
        <w:t>供货安装地点：武陟县司法局</w:t>
      </w:r>
    </w:p>
    <w:p w:rsidR="00416C1F" w:rsidRDefault="00416C1F" w:rsidP="00416C1F">
      <w:pPr>
        <w:numPr>
          <w:ilvl w:val="2"/>
          <w:numId w:val="3"/>
        </w:numPr>
        <w:spacing w:line="400" w:lineRule="exact"/>
        <w:ind w:firstLineChars="200" w:firstLine="420"/>
        <w:rPr>
          <w:rFonts w:ascii="宋体" w:hAnsi="宋体" w:hint="eastAsia"/>
          <w:color w:val="FF0000"/>
        </w:rPr>
      </w:pPr>
      <w:r>
        <w:rPr>
          <w:rFonts w:ascii="宋体" w:hAnsi="宋体" w:hint="eastAsia"/>
          <w:color w:val="FF0000"/>
        </w:rPr>
        <w:t xml:space="preserve">质量标准：合格，符合国家标准 </w:t>
      </w:r>
    </w:p>
    <w:p w:rsidR="00416C1F" w:rsidRDefault="00416C1F" w:rsidP="00416C1F">
      <w:pPr>
        <w:numPr>
          <w:ilvl w:val="2"/>
          <w:numId w:val="3"/>
        </w:numPr>
        <w:spacing w:line="400" w:lineRule="exact"/>
        <w:ind w:firstLineChars="200" w:firstLine="420"/>
        <w:rPr>
          <w:rFonts w:ascii="宋体" w:hAnsi="宋体" w:hint="eastAsia"/>
          <w:color w:val="FF0000"/>
        </w:rPr>
      </w:pPr>
      <w:r>
        <w:rPr>
          <w:rFonts w:ascii="宋体" w:hAnsi="宋体" w:hint="eastAsia"/>
          <w:color w:val="FF0000"/>
        </w:rPr>
        <w:t>质量保证期： 一年</w:t>
      </w:r>
    </w:p>
    <w:p w:rsidR="00416C1F" w:rsidRDefault="00416C1F" w:rsidP="00416C1F">
      <w:pPr>
        <w:numPr>
          <w:ilvl w:val="2"/>
          <w:numId w:val="3"/>
        </w:numPr>
        <w:spacing w:line="400" w:lineRule="exact"/>
        <w:ind w:firstLineChars="200" w:firstLine="420"/>
        <w:rPr>
          <w:rFonts w:ascii="宋体" w:hAnsi="宋体" w:hint="eastAsia"/>
          <w:color w:val="FF0000"/>
        </w:rPr>
      </w:pPr>
      <w:r>
        <w:rPr>
          <w:rFonts w:ascii="宋体" w:hAnsi="宋体" w:hint="eastAsia"/>
          <w:color w:val="FF0000"/>
        </w:rPr>
        <w:t>履约担保：中标人与采购人签订合同前，需向采购人交纳中标金额的</w:t>
      </w:r>
      <w:r>
        <w:rPr>
          <w:rFonts w:ascii="宋体" w:hAnsi="宋体" w:hint="eastAsia"/>
          <w:color w:val="FF0000"/>
          <w:u w:val="single"/>
        </w:rPr>
        <w:t>5</w:t>
      </w:r>
      <w:r>
        <w:rPr>
          <w:rFonts w:ascii="宋体" w:hAnsi="宋体" w:hint="eastAsia"/>
          <w:color w:val="FF0000"/>
        </w:rPr>
        <w:t>%作为履约保证金，合同履行结束，经验收合格后退还。</w:t>
      </w:r>
    </w:p>
    <w:p w:rsidR="00416C1F" w:rsidRDefault="00416C1F" w:rsidP="00416C1F">
      <w:pPr>
        <w:spacing w:line="400" w:lineRule="exact"/>
        <w:ind w:firstLineChars="200" w:firstLine="420"/>
        <w:rPr>
          <w:rFonts w:ascii="宋体" w:hAnsi="宋体" w:hint="eastAsia"/>
          <w:b/>
          <w:bCs/>
        </w:rPr>
      </w:pPr>
      <w:r>
        <w:rPr>
          <w:rFonts w:ascii="宋体" w:hAnsi="宋体" w:hint="eastAsia"/>
          <w:color w:val="FF0000"/>
        </w:rPr>
        <w:t>6.付款方式：乙方将货物送至甲方指定地点，并安装调试结束，经甲乙双方及相关人员共同验收合格后，甲方向乙方支付货物总价款的95%，剩余5%作为质保金，一年后无质量问题一次性无息付清。</w:t>
      </w:r>
    </w:p>
    <w:p w:rsidR="00416C1F" w:rsidRDefault="00416C1F" w:rsidP="00416C1F">
      <w:pPr>
        <w:widowControl/>
        <w:numPr>
          <w:ilvl w:val="3"/>
          <w:numId w:val="1"/>
        </w:numPr>
        <w:adjustRightInd w:val="0"/>
        <w:snapToGrid w:val="0"/>
        <w:spacing w:line="400" w:lineRule="exact"/>
        <w:rPr>
          <w:rFonts w:ascii="宋体" w:hAnsi="宋体" w:hint="eastAsia"/>
          <w:b/>
          <w:bCs/>
          <w:color w:val="000000"/>
          <w:kern w:val="0"/>
          <w:sz w:val="32"/>
          <w:szCs w:val="32"/>
        </w:rPr>
      </w:pPr>
      <w:r>
        <w:rPr>
          <w:rFonts w:ascii="宋体" w:hAnsi="宋体" w:hint="eastAsia"/>
          <w:b/>
          <w:bCs/>
          <w:color w:val="000000"/>
          <w:kern w:val="0"/>
          <w:sz w:val="32"/>
          <w:szCs w:val="32"/>
        </w:rPr>
        <w:t>采购内容及技术要求</w:t>
      </w:r>
    </w:p>
    <w:p w:rsidR="00416C1F" w:rsidRDefault="00416C1F" w:rsidP="00416C1F">
      <w:pPr>
        <w:rPr>
          <w:rFonts w:hint="eastAsia"/>
        </w:rPr>
      </w:pPr>
      <w:r>
        <w:rPr>
          <w:rFonts w:ascii="宋体" w:hAnsi="宋体" w:hint="eastAsia"/>
        </w:rPr>
        <w:t>本项目的核心产品为：</w:t>
      </w:r>
      <w:r>
        <w:rPr>
          <w:rFonts w:ascii="宋体" w:hAnsi="宋体" w:hint="eastAsia"/>
          <w:color w:val="000000"/>
          <w:u w:val="single"/>
        </w:rPr>
        <w:t>商用台式计算机</w:t>
      </w:r>
      <w:r>
        <w:rPr>
          <w:rFonts w:ascii="宋体" w:hAnsi="宋体" w:hint="eastAsia"/>
        </w:rPr>
        <w:t>（核心产品仅适用于本项目同一品牌的认定，同一品牌的认定详见投标人须知）</w:t>
      </w:r>
    </w:p>
    <w:tbl>
      <w:tblPr>
        <w:tblW w:w="0" w:type="auto"/>
        <w:tblInd w:w="4" w:type="dxa"/>
        <w:tblLayout w:type="fixed"/>
        <w:tblCellMar>
          <w:left w:w="0" w:type="dxa"/>
          <w:right w:w="0" w:type="dxa"/>
        </w:tblCellMar>
        <w:tblLook w:val="04A0"/>
      </w:tblPr>
      <w:tblGrid>
        <w:gridCol w:w="960"/>
        <w:gridCol w:w="2040"/>
        <w:gridCol w:w="4901"/>
        <w:gridCol w:w="708"/>
      </w:tblGrid>
      <w:tr w:rsidR="00416C1F" w:rsidTr="00416C1F">
        <w:trPr>
          <w:trHeight w:val="588"/>
        </w:trPr>
        <w:tc>
          <w:tcPr>
            <w:tcW w:w="96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16C1F" w:rsidRDefault="00416C1F">
            <w:pPr>
              <w:jc w:val="center"/>
              <w:rPr>
                <w:rFonts w:ascii="宋体" w:hAnsi="宋体"/>
                <w:color w:val="000000"/>
                <w:sz w:val="20"/>
                <w:szCs w:val="20"/>
              </w:rPr>
            </w:pPr>
            <w:r>
              <w:rPr>
                <w:rFonts w:ascii="宋体" w:hAnsi="宋体" w:hint="eastAsia"/>
                <w:color w:val="000000"/>
                <w:sz w:val="20"/>
                <w:szCs w:val="20"/>
              </w:rPr>
              <w:t>1</w:t>
            </w:r>
          </w:p>
        </w:tc>
        <w:tc>
          <w:tcPr>
            <w:tcW w:w="2040"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416C1F" w:rsidRDefault="00416C1F">
            <w:pPr>
              <w:jc w:val="center"/>
              <w:rPr>
                <w:rFonts w:ascii="宋体" w:hAnsi="宋体"/>
                <w:color w:val="000000"/>
              </w:rPr>
            </w:pPr>
            <w:r>
              <w:rPr>
                <w:rFonts w:ascii="宋体" w:hAnsi="宋体" w:hint="eastAsia"/>
                <w:color w:val="000000"/>
              </w:rPr>
              <w:t>商用台式计算机</w:t>
            </w:r>
          </w:p>
        </w:tc>
        <w:tc>
          <w:tcPr>
            <w:tcW w:w="490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color w:val="000000"/>
              </w:rPr>
            </w:pPr>
            <w:r>
              <w:rPr>
                <w:rFonts w:ascii="宋体" w:hAnsi="宋体" w:hint="eastAsia"/>
                <w:color w:val="000000"/>
              </w:rPr>
              <w:t>CPU:Intel八代I5-8500CPU，主频≥3.0GHz,缓存≥9M</w:t>
            </w:r>
          </w:p>
        </w:tc>
        <w:tc>
          <w:tcPr>
            <w:tcW w:w="70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16C1F" w:rsidRDefault="00416C1F">
            <w:pPr>
              <w:jc w:val="center"/>
              <w:rPr>
                <w:rFonts w:ascii="黑体" w:eastAsia="黑体" w:hAnsi="黑体"/>
                <w:color w:val="000000"/>
              </w:rPr>
            </w:pPr>
            <w:r>
              <w:rPr>
                <w:rFonts w:ascii="黑体" w:eastAsia="黑体" w:hAnsi="黑体" w:hint="eastAsia"/>
                <w:color w:val="000000"/>
              </w:rPr>
              <w:t>15</w:t>
            </w:r>
          </w:p>
        </w:tc>
      </w:tr>
      <w:tr w:rsidR="00416C1F" w:rsidTr="00416C1F">
        <w:trPr>
          <w:trHeight w:val="300"/>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color w:val="000000"/>
              </w:rPr>
            </w:pPr>
            <w:r>
              <w:rPr>
                <w:rFonts w:ascii="宋体" w:hAnsi="宋体" w:hint="eastAsia"/>
                <w:color w:val="000000"/>
              </w:rPr>
              <w:t>主板：Intel H370 及以上</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296"/>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color w:val="000000"/>
              </w:rPr>
            </w:pPr>
            <w:r>
              <w:rPr>
                <w:rFonts w:ascii="宋体" w:hAnsi="宋体" w:hint="eastAsia"/>
                <w:color w:val="000000"/>
              </w:rPr>
              <w:t>内存：配置 ≥4GB DDR4-2666，2个内存插槽</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300"/>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color w:val="000000"/>
              </w:rPr>
            </w:pPr>
            <w:r>
              <w:rPr>
                <w:rFonts w:ascii="宋体" w:hAnsi="宋体" w:hint="eastAsia"/>
                <w:color w:val="000000"/>
              </w:rPr>
              <w:t xml:space="preserve"> 声卡：集成</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300"/>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color w:val="FF0000"/>
              </w:rPr>
            </w:pPr>
            <w:r>
              <w:rPr>
                <w:rFonts w:ascii="宋体" w:hAnsi="宋体" w:hint="eastAsia"/>
                <w:color w:val="000000"/>
              </w:rPr>
              <w:t>硬盘：≥1T机械硬盘</w:t>
            </w:r>
            <w:r>
              <w:rPr>
                <w:rFonts w:ascii="宋体" w:hAnsi="宋体" w:hint="eastAsia"/>
                <w:color w:val="FF0000"/>
              </w:rPr>
              <w:t> </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300"/>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color w:val="000000"/>
              </w:rPr>
            </w:pPr>
            <w:r>
              <w:rPr>
                <w:rFonts w:ascii="宋体" w:hAnsi="宋体" w:hint="eastAsia"/>
                <w:color w:val="000000"/>
              </w:rPr>
              <w:t>显卡：GT730 1G显卡</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网卡：集成10/100/1000M以太网卡</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783"/>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扩展槽：≥1个PCI-E*16，≥1个全高PCI，≥1个PCI-E*1，≥2 个M.2PCIE  （ 用于可选的无线网卡）</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300"/>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键盘、鼠标：抗菌键盘，抗菌鼠标</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876"/>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显示器：与主机同品牌21.5"宽屏16:9 LED背光液晶显示器,VGA接口,200nits,600:1,5百万:1(动态对比度), 5ms,1600x900,可视角度为水平90度/垂直50度</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876"/>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接口：USB≥8 个（其中前置2个USB3.1）,背面≥ 6个USB（其中≥2个以上USB3.1），≥1个    HDMI接口 ，≥1个VGA，≥1个串口</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300"/>
        </w:trPr>
        <w:tc>
          <w:tcPr>
            <w:tcW w:w="960" w:type="dxa"/>
            <w:vMerge/>
            <w:tcBorders>
              <w:top w:val="single" w:sz="4" w:space="0" w:color="auto"/>
              <w:left w:val="single" w:sz="8" w:space="0" w:color="auto"/>
              <w:bottom w:val="single" w:sz="8" w:space="0" w:color="auto"/>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single" w:sz="8" w:space="0" w:color="auto"/>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电源：≥180W节能环保电源</w:t>
            </w:r>
          </w:p>
        </w:tc>
        <w:tc>
          <w:tcPr>
            <w:tcW w:w="708" w:type="dxa"/>
            <w:vMerge/>
            <w:tcBorders>
              <w:top w:val="single" w:sz="8" w:space="0" w:color="auto"/>
              <w:left w:val="nil"/>
              <w:bottom w:val="single" w:sz="8" w:space="0" w:color="auto"/>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val="restart"/>
            <w:tcBorders>
              <w:top w:val="single" w:sz="4" w:space="0" w:color="auto"/>
              <w:left w:val="single" w:sz="8" w:space="0" w:color="auto"/>
              <w:bottom w:val="nil"/>
              <w:right w:val="single" w:sz="8" w:space="0" w:color="auto"/>
            </w:tcBorders>
            <w:vAlign w:val="center"/>
            <w:hideMark/>
          </w:tcPr>
          <w:p w:rsidR="00416C1F" w:rsidRDefault="00416C1F">
            <w:pPr>
              <w:jc w:val="center"/>
              <w:rPr>
                <w:rFonts w:ascii="宋体" w:hAnsi="宋体"/>
                <w:color w:val="000000"/>
                <w:sz w:val="20"/>
                <w:szCs w:val="20"/>
              </w:rPr>
            </w:pPr>
            <w:r>
              <w:rPr>
                <w:rFonts w:ascii="宋体" w:hAnsi="宋体" w:hint="eastAsia"/>
                <w:color w:val="000000"/>
                <w:sz w:val="20"/>
                <w:szCs w:val="20"/>
              </w:rPr>
              <w:t>2</w:t>
            </w:r>
          </w:p>
        </w:tc>
        <w:tc>
          <w:tcPr>
            <w:tcW w:w="2040" w:type="dxa"/>
            <w:vMerge w:val="restart"/>
            <w:tcBorders>
              <w:top w:val="single" w:sz="4" w:space="0" w:color="auto"/>
              <w:left w:val="nil"/>
              <w:bottom w:val="nil"/>
              <w:right w:val="single" w:sz="8" w:space="0" w:color="auto"/>
            </w:tcBorders>
            <w:vAlign w:val="center"/>
            <w:hideMark/>
          </w:tcPr>
          <w:p w:rsidR="00416C1F" w:rsidRDefault="00416C1F">
            <w:pPr>
              <w:jc w:val="center"/>
              <w:rPr>
                <w:rFonts w:ascii="宋体" w:hAnsi="宋体"/>
                <w:color w:val="000000"/>
              </w:rPr>
            </w:pPr>
            <w:r>
              <w:rPr>
                <w:rFonts w:ascii="宋体" w:hAnsi="宋体" w:hint="eastAsia"/>
                <w:color w:val="000000"/>
              </w:rPr>
              <w:t>碎纸机</w:t>
            </w: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碎纸效果：≤3*15MM</w:t>
            </w:r>
          </w:p>
        </w:tc>
        <w:tc>
          <w:tcPr>
            <w:tcW w:w="708" w:type="dxa"/>
            <w:vMerge w:val="restart"/>
            <w:tcBorders>
              <w:top w:val="single" w:sz="4" w:space="0" w:color="auto"/>
              <w:left w:val="nil"/>
              <w:bottom w:val="nil"/>
              <w:right w:val="single" w:sz="8" w:space="0" w:color="auto"/>
            </w:tcBorders>
            <w:vAlign w:val="center"/>
            <w:hideMark/>
          </w:tcPr>
          <w:p w:rsidR="00416C1F" w:rsidRDefault="00416C1F">
            <w:pPr>
              <w:jc w:val="center"/>
              <w:rPr>
                <w:rFonts w:ascii="黑体" w:eastAsia="黑体" w:hAnsi="黑体"/>
                <w:color w:val="000000"/>
              </w:rPr>
            </w:pPr>
            <w:r>
              <w:rPr>
                <w:rFonts w:ascii="黑体" w:eastAsia="黑体" w:hAnsi="黑体" w:hint="eastAsia"/>
                <w:color w:val="000000"/>
              </w:rPr>
              <w:t>30</w:t>
            </w: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碎纸能力：每次≥5-6张</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碎纸速度：每分钟≥3米</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容积：≥15L</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工作噪音：58DB</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val="restart"/>
            <w:tcBorders>
              <w:top w:val="single" w:sz="4" w:space="0" w:color="auto"/>
              <w:left w:val="single" w:sz="8" w:space="0" w:color="auto"/>
              <w:bottom w:val="nil"/>
              <w:right w:val="single" w:sz="8" w:space="0" w:color="auto"/>
            </w:tcBorders>
            <w:vAlign w:val="center"/>
            <w:hideMark/>
          </w:tcPr>
          <w:p w:rsidR="00416C1F" w:rsidRDefault="00416C1F">
            <w:pPr>
              <w:jc w:val="center"/>
              <w:rPr>
                <w:rFonts w:ascii="宋体" w:hAnsi="宋体"/>
                <w:color w:val="000000"/>
                <w:sz w:val="20"/>
                <w:szCs w:val="20"/>
              </w:rPr>
            </w:pPr>
            <w:r>
              <w:rPr>
                <w:rFonts w:ascii="宋体" w:hAnsi="宋体" w:hint="eastAsia"/>
                <w:color w:val="000000"/>
                <w:sz w:val="20"/>
                <w:szCs w:val="20"/>
              </w:rPr>
              <w:t>3</w:t>
            </w:r>
          </w:p>
        </w:tc>
        <w:tc>
          <w:tcPr>
            <w:tcW w:w="2040" w:type="dxa"/>
            <w:vMerge w:val="restart"/>
            <w:tcBorders>
              <w:top w:val="single" w:sz="4" w:space="0" w:color="auto"/>
              <w:left w:val="nil"/>
              <w:bottom w:val="nil"/>
              <w:right w:val="single" w:sz="8" w:space="0" w:color="auto"/>
            </w:tcBorders>
            <w:vAlign w:val="center"/>
            <w:hideMark/>
          </w:tcPr>
          <w:p w:rsidR="00416C1F" w:rsidRDefault="00416C1F">
            <w:pPr>
              <w:jc w:val="center"/>
              <w:rPr>
                <w:rFonts w:ascii="宋体" w:hAnsi="宋体"/>
                <w:color w:val="000000"/>
              </w:rPr>
            </w:pPr>
            <w:r>
              <w:rPr>
                <w:rFonts w:ascii="宋体" w:hAnsi="宋体" w:hint="eastAsia"/>
                <w:color w:val="000000"/>
              </w:rPr>
              <w:t>打印复印一体机</w:t>
            </w: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产品类型：黑白激光多功能一体机</w:t>
            </w:r>
          </w:p>
        </w:tc>
        <w:tc>
          <w:tcPr>
            <w:tcW w:w="708" w:type="dxa"/>
            <w:vMerge w:val="restart"/>
            <w:tcBorders>
              <w:top w:val="single" w:sz="4" w:space="0" w:color="auto"/>
              <w:left w:val="nil"/>
              <w:bottom w:val="nil"/>
              <w:right w:val="single" w:sz="8" w:space="0" w:color="auto"/>
            </w:tcBorders>
            <w:vAlign w:val="center"/>
            <w:hideMark/>
          </w:tcPr>
          <w:p w:rsidR="00416C1F" w:rsidRDefault="00416C1F">
            <w:pPr>
              <w:jc w:val="center"/>
              <w:rPr>
                <w:rFonts w:ascii="黑体" w:eastAsia="黑体" w:hAnsi="黑体"/>
                <w:color w:val="000000"/>
              </w:rPr>
            </w:pPr>
            <w:r>
              <w:rPr>
                <w:rFonts w:ascii="黑体" w:eastAsia="黑体" w:hAnsi="黑体" w:hint="eastAsia"/>
                <w:color w:val="000000"/>
              </w:rPr>
              <w:t>10</w:t>
            </w: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功能：打印、复印、扫描</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1"/>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幅面：A4</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耗材类型：鼓粉分离</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打印速度：20PPM</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打印分辨率：600*600dpi</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首页打印时间：&lt;10秒</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28"/>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复印速度：20CPM</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40"/>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复印分辨率：600*600dpi</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40"/>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缩放范围：25－400%</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40"/>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光学分辨率：600*1200dpi</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40"/>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最大分辨率：19200*19200dpi</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40"/>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灰度等级：8级</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580"/>
        </w:trPr>
        <w:tc>
          <w:tcPr>
            <w:tcW w:w="960" w:type="dxa"/>
            <w:vMerge/>
            <w:tcBorders>
              <w:top w:val="single" w:sz="4" w:space="0" w:color="auto"/>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single" w:sz="4" w:space="0" w:color="auto"/>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显示屏：10汉字*2行</w:t>
            </w:r>
          </w:p>
        </w:tc>
        <w:tc>
          <w:tcPr>
            <w:tcW w:w="708" w:type="dxa"/>
            <w:vMerge/>
            <w:tcBorders>
              <w:top w:val="single" w:sz="4" w:space="0" w:color="auto"/>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66"/>
        </w:trPr>
        <w:tc>
          <w:tcPr>
            <w:tcW w:w="960" w:type="dxa"/>
            <w:vMerge w:val="restart"/>
            <w:tcBorders>
              <w:top w:val="nil"/>
              <w:left w:val="single" w:sz="8" w:space="0" w:color="auto"/>
              <w:bottom w:val="nil"/>
              <w:right w:val="single" w:sz="8" w:space="0" w:color="auto"/>
            </w:tcBorders>
            <w:vAlign w:val="center"/>
            <w:hideMark/>
          </w:tcPr>
          <w:p w:rsidR="00416C1F" w:rsidRDefault="00416C1F">
            <w:pPr>
              <w:jc w:val="center"/>
              <w:rPr>
                <w:rFonts w:ascii="宋体" w:hAnsi="宋体"/>
                <w:color w:val="000000"/>
                <w:sz w:val="20"/>
                <w:szCs w:val="20"/>
              </w:rPr>
            </w:pPr>
            <w:r>
              <w:rPr>
                <w:rFonts w:ascii="宋体" w:hAnsi="宋体" w:hint="eastAsia"/>
                <w:color w:val="000000"/>
                <w:sz w:val="20"/>
                <w:szCs w:val="20"/>
              </w:rPr>
              <w:t>4</w:t>
            </w:r>
          </w:p>
        </w:tc>
        <w:tc>
          <w:tcPr>
            <w:tcW w:w="2040" w:type="dxa"/>
            <w:vMerge w:val="restart"/>
            <w:tcBorders>
              <w:top w:val="nil"/>
              <w:left w:val="nil"/>
              <w:bottom w:val="nil"/>
              <w:right w:val="single" w:sz="8" w:space="0" w:color="auto"/>
            </w:tcBorders>
            <w:vAlign w:val="center"/>
            <w:hideMark/>
          </w:tcPr>
          <w:p w:rsidR="00416C1F" w:rsidRDefault="00416C1F">
            <w:pPr>
              <w:jc w:val="center"/>
              <w:rPr>
                <w:rFonts w:ascii="宋体" w:hAnsi="宋体"/>
                <w:color w:val="000000"/>
              </w:rPr>
            </w:pPr>
            <w:r>
              <w:rPr>
                <w:rFonts w:ascii="宋体" w:hAnsi="宋体" w:hint="eastAsia"/>
                <w:color w:val="000000"/>
              </w:rPr>
              <w:t>空气净化器</w:t>
            </w:r>
          </w:p>
        </w:tc>
        <w:tc>
          <w:tcPr>
            <w:tcW w:w="490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额定功率：40W</w:t>
            </w:r>
          </w:p>
        </w:tc>
        <w:tc>
          <w:tcPr>
            <w:tcW w:w="708" w:type="dxa"/>
            <w:vMerge w:val="restart"/>
            <w:tcBorders>
              <w:top w:val="nil"/>
              <w:left w:val="nil"/>
              <w:bottom w:val="nil"/>
              <w:right w:val="single" w:sz="8" w:space="0" w:color="auto"/>
            </w:tcBorders>
            <w:vAlign w:val="center"/>
            <w:hideMark/>
          </w:tcPr>
          <w:p w:rsidR="00416C1F" w:rsidRDefault="00416C1F">
            <w:pPr>
              <w:jc w:val="center"/>
              <w:rPr>
                <w:rFonts w:ascii="黑体" w:eastAsia="黑体" w:hAnsi="黑体"/>
                <w:color w:val="000000"/>
              </w:rPr>
            </w:pPr>
            <w:r>
              <w:rPr>
                <w:rFonts w:ascii="黑体" w:eastAsia="黑体" w:hAnsi="黑体" w:hint="eastAsia"/>
                <w:color w:val="000000"/>
              </w:rPr>
              <w:t>5</w:t>
            </w:r>
          </w:p>
        </w:tc>
      </w:tr>
      <w:tr w:rsidR="00416C1F" w:rsidTr="00416C1F">
        <w:trPr>
          <w:trHeight w:val="166"/>
        </w:trPr>
        <w:tc>
          <w:tcPr>
            <w:tcW w:w="960" w:type="dxa"/>
            <w:vMerge/>
            <w:tcBorders>
              <w:top w:val="nil"/>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nil"/>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颗粒物洁净空气量(CADR颗粒物)：420立方米/h</w:t>
            </w:r>
          </w:p>
        </w:tc>
        <w:tc>
          <w:tcPr>
            <w:tcW w:w="708" w:type="dxa"/>
            <w:vMerge/>
            <w:tcBorders>
              <w:top w:val="nil"/>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66"/>
        </w:trPr>
        <w:tc>
          <w:tcPr>
            <w:tcW w:w="960" w:type="dxa"/>
            <w:vMerge/>
            <w:tcBorders>
              <w:top w:val="nil"/>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nil"/>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颗粒物洁累积净化量（CCM颗粒物）：P4</w:t>
            </w:r>
          </w:p>
        </w:tc>
        <w:tc>
          <w:tcPr>
            <w:tcW w:w="708" w:type="dxa"/>
            <w:vMerge/>
            <w:tcBorders>
              <w:top w:val="nil"/>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1"/>
        </w:trPr>
        <w:tc>
          <w:tcPr>
            <w:tcW w:w="960" w:type="dxa"/>
            <w:vMerge/>
            <w:tcBorders>
              <w:top w:val="nil"/>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nil"/>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颗粒物净化能效等级：高效级</w:t>
            </w:r>
          </w:p>
        </w:tc>
        <w:tc>
          <w:tcPr>
            <w:tcW w:w="708" w:type="dxa"/>
            <w:vMerge/>
            <w:tcBorders>
              <w:top w:val="nil"/>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66"/>
        </w:trPr>
        <w:tc>
          <w:tcPr>
            <w:tcW w:w="960" w:type="dxa"/>
            <w:vMerge/>
            <w:tcBorders>
              <w:top w:val="nil"/>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nil"/>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甲醛洁净空气量（CADR甲醛）：420立方米/h</w:t>
            </w:r>
          </w:p>
        </w:tc>
        <w:tc>
          <w:tcPr>
            <w:tcW w:w="708" w:type="dxa"/>
            <w:vMerge/>
            <w:tcBorders>
              <w:top w:val="nil"/>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66"/>
        </w:trPr>
        <w:tc>
          <w:tcPr>
            <w:tcW w:w="960" w:type="dxa"/>
            <w:vMerge/>
            <w:tcBorders>
              <w:top w:val="nil"/>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nil"/>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甲醛累积净化量（CCM甲醛）：F4</w:t>
            </w:r>
          </w:p>
        </w:tc>
        <w:tc>
          <w:tcPr>
            <w:tcW w:w="708" w:type="dxa"/>
            <w:vMerge/>
            <w:tcBorders>
              <w:top w:val="nil"/>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71"/>
        </w:trPr>
        <w:tc>
          <w:tcPr>
            <w:tcW w:w="960" w:type="dxa"/>
            <w:vMerge/>
            <w:tcBorders>
              <w:top w:val="nil"/>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nil"/>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甲醛净化能效等级：高效级</w:t>
            </w:r>
          </w:p>
        </w:tc>
        <w:tc>
          <w:tcPr>
            <w:tcW w:w="708" w:type="dxa"/>
            <w:vMerge/>
            <w:tcBorders>
              <w:top w:val="nil"/>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11"/>
        </w:trPr>
        <w:tc>
          <w:tcPr>
            <w:tcW w:w="960" w:type="dxa"/>
            <w:vMerge/>
            <w:tcBorders>
              <w:top w:val="nil"/>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nil"/>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噪声：60DB（A）</w:t>
            </w:r>
          </w:p>
        </w:tc>
        <w:tc>
          <w:tcPr>
            <w:tcW w:w="708" w:type="dxa"/>
            <w:vMerge/>
            <w:tcBorders>
              <w:top w:val="nil"/>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r w:rsidR="00416C1F" w:rsidTr="00416C1F">
        <w:trPr>
          <w:trHeight w:val="580"/>
        </w:trPr>
        <w:tc>
          <w:tcPr>
            <w:tcW w:w="960" w:type="dxa"/>
            <w:vMerge/>
            <w:tcBorders>
              <w:top w:val="nil"/>
              <w:left w:val="single" w:sz="8" w:space="0" w:color="auto"/>
              <w:bottom w:val="nil"/>
              <w:right w:val="single" w:sz="8" w:space="0" w:color="auto"/>
            </w:tcBorders>
            <w:vAlign w:val="center"/>
            <w:hideMark/>
          </w:tcPr>
          <w:p w:rsidR="00416C1F" w:rsidRDefault="00416C1F">
            <w:pPr>
              <w:widowControl/>
              <w:jc w:val="left"/>
              <w:rPr>
                <w:rFonts w:ascii="宋体" w:hAnsi="宋体"/>
                <w:color w:val="000000"/>
                <w:sz w:val="20"/>
                <w:szCs w:val="20"/>
              </w:rPr>
            </w:pPr>
          </w:p>
        </w:tc>
        <w:tc>
          <w:tcPr>
            <w:tcW w:w="2040" w:type="dxa"/>
            <w:vMerge/>
            <w:tcBorders>
              <w:top w:val="nil"/>
              <w:left w:val="nil"/>
              <w:bottom w:val="nil"/>
              <w:right w:val="single" w:sz="8" w:space="0" w:color="auto"/>
            </w:tcBorders>
            <w:vAlign w:val="center"/>
            <w:hideMark/>
          </w:tcPr>
          <w:p w:rsidR="00416C1F" w:rsidRDefault="00416C1F">
            <w:pPr>
              <w:widowControl/>
              <w:jc w:val="left"/>
              <w:rPr>
                <w:rFonts w:ascii="宋体" w:hAnsi="宋体"/>
                <w:color w:val="000000"/>
              </w:rPr>
            </w:pPr>
          </w:p>
        </w:tc>
        <w:tc>
          <w:tcPr>
            <w:tcW w:w="490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hideMark/>
          </w:tcPr>
          <w:p w:rsidR="00416C1F" w:rsidRDefault="00416C1F">
            <w:pPr>
              <w:rPr>
                <w:rFonts w:ascii="宋体" w:hAnsi="宋体"/>
              </w:rPr>
            </w:pPr>
            <w:r>
              <w:rPr>
                <w:rFonts w:ascii="宋体" w:hAnsi="宋体" w:hint="eastAsia"/>
              </w:rPr>
              <w:t>适用面积：29-50平方米</w:t>
            </w:r>
          </w:p>
        </w:tc>
        <w:tc>
          <w:tcPr>
            <w:tcW w:w="708" w:type="dxa"/>
            <w:vMerge/>
            <w:tcBorders>
              <w:top w:val="nil"/>
              <w:left w:val="nil"/>
              <w:bottom w:val="nil"/>
              <w:right w:val="single" w:sz="8" w:space="0" w:color="auto"/>
            </w:tcBorders>
            <w:vAlign w:val="center"/>
            <w:hideMark/>
          </w:tcPr>
          <w:p w:rsidR="00416C1F" w:rsidRDefault="00416C1F">
            <w:pPr>
              <w:widowControl/>
              <w:jc w:val="left"/>
              <w:rPr>
                <w:rFonts w:ascii="黑体" w:eastAsia="黑体" w:hAnsi="黑体"/>
                <w:color w:val="000000"/>
              </w:rPr>
            </w:pPr>
          </w:p>
        </w:tc>
      </w:tr>
    </w:tbl>
    <w:p w:rsidR="00416C1F" w:rsidRDefault="00416C1F" w:rsidP="00416C1F">
      <w:pPr>
        <w:rPr>
          <w:rFonts w:hint="eastAsia"/>
        </w:rPr>
      </w:pPr>
      <w:r>
        <w:rPr>
          <w:rFonts w:hint="eastAsia"/>
        </w:rPr>
        <w:t xml:space="preserve"> </w:t>
      </w:r>
    </w:p>
    <w:p w:rsidR="00416C1F" w:rsidRDefault="00416C1F" w:rsidP="00416C1F">
      <w:pPr>
        <w:rPr>
          <w:rFonts w:hint="eastAsia"/>
        </w:rPr>
      </w:pPr>
      <w:r>
        <w:rPr>
          <w:rFonts w:hint="eastAsia"/>
        </w:rPr>
        <w:t xml:space="preserve"> </w:t>
      </w:r>
    </w:p>
    <w:p w:rsidR="00416C1F" w:rsidRDefault="00416C1F" w:rsidP="00416C1F">
      <w:pPr>
        <w:spacing w:line="400" w:lineRule="exact"/>
        <w:rPr>
          <w:rFonts w:ascii="宋体" w:hAnsi="宋体" w:hint="eastAsia"/>
          <w:b/>
          <w:bCs/>
          <w:color w:val="000000"/>
          <w:kern w:val="0"/>
          <w:sz w:val="32"/>
          <w:szCs w:val="32"/>
        </w:rPr>
      </w:pPr>
      <w:r>
        <w:rPr>
          <w:rFonts w:ascii="宋体" w:hAnsi="宋体" w:hint="eastAsia"/>
          <w:b/>
          <w:bCs/>
          <w:color w:val="000000"/>
          <w:kern w:val="0"/>
          <w:sz w:val="32"/>
          <w:szCs w:val="32"/>
        </w:rPr>
        <w:t>需要落实的政府采购政策</w:t>
      </w:r>
    </w:p>
    <w:p w:rsidR="00416C1F" w:rsidRDefault="00416C1F" w:rsidP="00416C1F">
      <w:pPr>
        <w:numPr>
          <w:ilvl w:val="1"/>
          <w:numId w:val="4"/>
        </w:numPr>
        <w:spacing w:line="400" w:lineRule="exact"/>
        <w:ind w:firstLineChars="200" w:firstLine="562"/>
        <w:rPr>
          <w:rFonts w:ascii="仿宋" w:eastAsia="仿宋" w:hAnsi="仿宋" w:hint="eastAsia"/>
          <w:b/>
          <w:bCs/>
          <w:color w:val="000000"/>
          <w:sz w:val="28"/>
          <w:szCs w:val="28"/>
        </w:rPr>
      </w:pPr>
      <w:r>
        <w:rPr>
          <w:rFonts w:ascii="仿宋" w:eastAsia="仿宋" w:hAnsi="仿宋" w:hint="eastAsia"/>
          <w:b/>
          <w:bCs/>
          <w:color w:val="000000"/>
          <w:sz w:val="28"/>
          <w:szCs w:val="28"/>
        </w:rPr>
        <w:t>促进中小企业、监狱企业和残疾人福利性单位发展扶持政策</w:t>
      </w:r>
    </w:p>
    <w:p w:rsidR="00416C1F" w:rsidRDefault="00416C1F" w:rsidP="00416C1F">
      <w:pPr>
        <w:numPr>
          <w:ilvl w:val="2"/>
          <w:numId w:val="5"/>
        </w:numPr>
        <w:spacing w:line="440" w:lineRule="exact"/>
        <w:ind w:firstLineChars="200" w:firstLine="420"/>
        <w:rPr>
          <w:rFonts w:ascii="宋体" w:hAnsi="宋体" w:hint="eastAsia"/>
        </w:rPr>
      </w:pPr>
      <w:r>
        <w:rPr>
          <w:rFonts w:ascii="宋体" w:hAnsi="宋体" w:hint="eastAsia"/>
        </w:rPr>
        <w:lastRenderedPageBreak/>
        <w:t>小型和微型企业认定：</w:t>
      </w:r>
    </w:p>
    <w:p w:rsidR="00416C1F" w:rsidRDefault="00416C1F" w:rsidP="00416C1F">
      <w:pPr>
        <w:numPr>
          <w:ilvl w:val="0"/>
          <w:numId w:val="6"/>
        </w:numPr>
        <w:spacing w:line="440" w:lineRule="exact"/>
        <w:ind w:firstLineChars="200" w:firstLine="420"/>
        <w:rPr>
          <w:rFonts w:ascii="宋体" w:hAnsi="宋体" w:hint="eastAsia"/>
        </w:rPr>
      </w:pPr>
      <w:r>
        <w:rPr>
          <w:rFonts w:ascii="宋体" w:hAnsi="宋体" w:hint="eastAsia"/>
        </w:rPr>
        <w:t>提供本企业制造的货物、承担的工程或服务的，或者提供其他小型或者微型企业制造的货物的；</w:t>
      </w:r>
    </w:p>
    <w:p w:rsidR="00416C1F" w:rsidRDefault="00416C1F" w:rsidP="00416C1F">
      <w:pPr>
        <w:numPr>
          <w:ilvl w:val="0"/>
          <w:numId w:val="6"/>
        </w:numPr>
        <w:spacing w:line="440" w:lineRule="exact"/>
        <w:ind w:firstLineChars="200" w:firstLine="420"/>
        <w:rPr>
          <w:rFonts w:ascii="宋体" w:hAnsi="宋体" w:hint="eastAsia"/>
        </w:rPr>
      </w:pPr>
      <w:r>
        <w:rPr>
          <w:rFonts w:ascii="宋体" w:hAnsi="宋体" w:hint="eastAsia"/>
        </w:rPr>
        <w:t>提供由供应商企业所在地的县级及以上中小企业主管部门出具的中小企业认定证书（</w:t>
      </w:r>
      <w:r>
        <w:rPr>
          <w:rFonts w:ascii="宋体" w:hAnsi="宋体" w:hint="eastAsia"/>
          <w:b/>
          <w:bCs/>
          <w:color w:val="0000FF"/>
          <w:kern w:val="0"/>
        </w:rPr>
        <w:t>投标文件商务、技术证明文件正本中提供复印件加盖投标人公章，副本中可为正本的复印件，</w:t>
      </w:r>
      <w:r>
        <w:rPr>
          <w:rFonts w:ascii="宋体" w:hAnsi="宋体" w:hint="eastAsia"/>
          <w:b/>
          <w:bCs/>
          <w:color w:val="0000FF"/>
        </w:rPr>
        <w:t>原件核查）</w:t>
      </w:r>
      <w:r>
        <w:rPr>
          <w:rFonts w:ascii="宋体" w:hAnsi="宋体" w:hint="eastAsia"/>
        </w:rPr>
        <w:t>和中小企业声明函</w:t>
      </w:r>
      <w:r>
        <w:rPr>
          <w:rFonts w:ascii="宋体" w:hAnsi="宋体" w:hint="eastAsia"/>
          <w:b/>
          <w:bCs/>
          <w:color w:val="0000FF"/>
        </w:rPr>
        <w:t>（原件附</w:t>
      </w:r>
      <w:r>
        <w:rPr>
          <w:rFonts w:ascii="宋体" w:hAnsi="宋体" w:hint="eastAsia"/>
          <w:b/>
          <w:bCs/>
          <w:color w:val="0000FF"/>
          <w:kern w:val="0"/>
        </w:rPr>
        <w:t>投标文件商务、技术证明文件正本中</w:t>
      </w:r>
      <w:r>
        <w:rPr>
          <w:rFonts w:ascii="宋体" w:hAnsi="宋体" w:hint="eastAsia"/>
          <w:b/>
          <w:bCs/>
          <w:color w:val="0000FF"/>
        </w:rPr>
        <w:t>，副本可以为正本的复印件）</w:t>
      </w:r>
      <w:r>
        <w:rPr>
          <w:rFonts w:ascii="宋体" w:hAnsi="宋体" w:hint="eastAsia"/>
        </w:rPr>
        <w:t>；供应商提供其他企业制造的货物的除需提供本企业的中小企业认定证书和中小企业声明函外，还需提供其他企业所在地的县级及以上中小企业主管部门出具的中小企业认定证书（</w:t>
      </w:r>
      <w:r>
        <w:rPr>
          <w:rFonts w:ascii="宋体" w:hAnsi="宋体" w:hint="eastAsia"/>
          <w:b/>
          <w:bCs/>
          <w:color w:val="0000FF"/>
          <w:kern w:val="0"/>
        </w:rPr>
        <w:t>投标文件商务、技术证明文件正本中提供复印件加盖生产厂家公章，副本中可为正本的复印件</w:t>
      </w:r>
      <w:r>
        <w:rPr>
          <w:rFonts w:ascii="宋体" w:hAnsi="宋体" w:hint="eastAsia"/>
          <w:b/>
          <w:bCs/>
          <w:color w:val="0000FF"/>
        </w:rPr>
        <w:t>）</w:t>
      </w:r>
      <w:r>
        <w:rPr>
          <w:rFonts w:ascii="宋体" w:hAnsi="宋体" w:hint="eastAsia"/>
        </w:rPr>
        <w:t>和中小企业声明函</w:t>
      </w:r>
      <w:r>
        <w:rPr>
          <w:rFonts w:ascii="宋体" w:hAnsi="宋体" w:hint="eastAsia"/>
          <w:b/>
          <w:bCs/>
          <w:color w:val="0000FF"/>
        </w:rPr>
        <w:t>（原件附</w:t>
      </w:r>
      <w:r>
        <w:rPr>
          <w:rFonts w:ascii="宋体" w:hAnsi="宋体" w:hint="eastAsia"/>
          <w:b/>
          <w:bCs/>
          <w:color w:val="0000FF"/>
          <w:kern w:val="0"/>
        </w:rPr>
        <w:t>投标文件商务、技术证明文件正本中</w:t>
      </w:r>
      <w:r>
        <w:rPr>
          <w:rFonts w:ascii="宋体" w:hAnsi="宋体" w:hint="eastAsia"/>
          <w:b/>
          <w:bCs/>
          <w:color w:val="0000FF"/>
        </w:rPr>
        <w:t>，副本可以为正本的复印件）</w:t>
      </w:r>
      <w:r>
        <w:rPr>
          <w:rFonts w:ascii="宋体" w:hAnsi="宋体" w:hint="eastAsia"/>
        </w:rPr>
        <w:t>，否则不予承认。</w:t>
      </w:r>
    </w:p>
    <w:p w:rsidR="00416C1F" w:rsidRDefault="00416C1F" w:rsidP="00416C1F">
      <w:pPr>
        <w:spacing w:line="440" w:lineRule="exact"/>
        <w:rPr>
          <w:rFonts w:ascii="宋体" w:hAnsi="宋体" w:hint="eastAsia"/>
          <w:b/>
          <w:bCs/>
        </w:rPr>
      </w:pPr>
      <w:r>
        <w:rPr>
          <w:rFonts w:ascii="宋体" w:hAnsi="宋体" w:hint="eastAsia"/>
        </w:rPr>
        <w:t xml:space="preserve">  </w:t>
      </w:r>
      <w:r>
        <w:rPr>
          <w:rFonts w:ascii="宋体" w:hAnsi="宋体" w:hint="eastAsia"/>
          <w:b/>
          <w:bCs/>
        </w:rPr>
        <w:t>在评审的过程中，以上（1）和（2）同时成立，方可以认定为小型或微型企业并享受价格优惠。</w:t>
      </w:r>
    </w:p>
    <w:p w:rsidR="00416C1F" w:rsidRDefault="00416C1F" w:rsidP="00416C1F">
      <w:pPr>
        <w:numPr>
          <w:ilvl w:val="2"/>
          <w:numId w:val="5"/>
        </w:numPr>
        <w:spacing w:line="440" w:lineRule="exact"/>
        <w:ind w:firstLineChars="200" w:firstLine="420"/>
        <w:rPr>
          <w:rFonts w:ascii="宋体" w:hAnsi="宋体" w:hint="eastAsia"/>
        </w:rPr>
      </w:pPr>
      <w:r>
        <w:rPr>
          <w:rFonts w:ascii="宋体" w:hAnsi="宋体" w:hint="eastAsia"/>
        </w:rPr>
        <w:t>根据财库〔2014〕68号《财政部 司法部关于政府采购支持监狱企业发展有关问题的通知》，监狱企业视同小微企业。提供由省级以上监狱管理局、戒毒管理局(含新疆生产建设兵团)出具的属于监狱企业的证明文件</w:t>
      </w:r>
      <w:r>
        <w:rPr>
          <w:rFonts w:ascii="宋体" w:hAnsi="宋体" w:hint="eastAsia"/>
          <w:b/>
          <w:bCs/>
          <w:color w:val="0000CC"/>
        </w:rPr>
        <w:t>（投标文件商务、技术证明文件正本中提供复印件加盖投标人公章，副本中可为正本的复印件，原件核查）</w:t>
      </w:r>
      <w:r>
        <w:rPr>
          <w:rFonts w:ascii="宋体" w:hAnsi="宋体" w:hint="eastAsia"/>
        </w:rPr>
        <w:t>，不再提供《中小企业声明函》,供应商出具的监狱企业证明文件如有虚假，其成交资格将被取消，并根据相关规定进行处罚。</w:t>
      </w:r>
    </w:p>
    <w:p w:rsidR="00416C1F" w:rsidRDefault="00416C1F" w:rsidP="00416C1F">
      <w:pPr>
        <w:numPr>
          <w:ilvl w:val="2"/>
          <w:numId w:val="5"/>
        </w:numPr>
        <w:spacing w:line="440" w:lineRule="exact"/>
        <w:ind w:firstLineChars="200" w:firstLine="420"/>
        <w:rPr>
          <w:rFonts w:ascii="宋体" w:hAnsi="宋体" w:hint="eastAsia"/>
        </w:rPr>
      </w:pPr>
      <w:r>
        <w:rPr>
          <w:rFonts w:ascii="宋体" w:hAnsi="宋体" w:hint="eastAsia"/>
        </w:rPr>
        <w:t>根据财库〔2017〕141号《三部门联合发布关于促进残疾人就业政府采购政策的通知》残疾人福利性单位视同小型、微型企业，残疾人福利性单位在参加政府采购活动时提供《残疾人福利性单位声明函》</w:t>
      </w:r>
      <w:r>
        <w:rPr>
          <w:rFonts w:ascii="宋体" w:hAnsi="宋体" w:hint="eastAsia"/>
          <w:b/>
          <w:bCs/>
          <w:color w:val="0000CC"/>
        </w:rPr>
        <w:t>（原件附投标文件商务、技术证明文件正本中，副本可以为正本的复印件）</w:t>
      </w:r>
      <w:r>
        <w:rPr>
          <w:rFonts w:ascii="宋体" w:hAnsi="宋体" w:hint="eastAsia"/>
        </w:rPr>
        <w:t>，不再提供《中小企业声明函》，供应商在《残疾人福利性单位声明函》中的承诺如有虚假，其成交资格将被取消，并根据相关规定进行处罚。</w:t>
      </w:r>
    </w:p>
    <w:p w:rsidR="00416C1F" w:rsidRDefault="00416C1F" w:rsidP="00416C1F">
      <w:pPr>
        <w:numPr>
          <w:ilvl w:val="1"/>
          <w:numId w:val="4"/>
        </w:numPr>
        <w:spacing w:line="400" w:lineRule="exact"/>
        <w:ind w:firstLineChars="200" w:firstLine="562"/>
        <w:rPr>
          <w:rFonts w:ascii="仿宋" w:eastAsia="仿宋" w:hAnsi="仿宋" w:hint="eastAsia"/>
          <w:b/>
          <w:bCs/>
          <w:color w:val="000000"/>
          <w:sz w:val="28"/>
          <w:szCs w:val="28"/>
        </w:rPr>
      </w:pPr>
      <w:r>
        <w:rPr>
          <w:rFonts w:ascii="仿宋" w:eastAsia="仿宋" w:hAnsi="仿宋" w:hint="eastAsia"/>
          <w:b/>
          <w:bCs/>
          <w:color w:val="000000"/>
          <w:sz w:val="28"/>
          <w:szCs w:val="28"/>
        </w:rPr>
        <w:t>节能产品、环境标志产品</w:t>
      </w:r>
    </w:p>
    <w:p w:rsidR="00416C1F" w:rsidRDefault="00416C1F" w:rsidP="00416C1F">
      <w:pPr>
        <w:spacing w:line="440" w:lineRule="exact"/>
        <w:ind w:firstLineChars="202" w:firstLine="424"/>
        <w:rPr>
          <w:rFonts w:ascii="宋体" w:hAnsi="宋体" w:hint="eastAsia"/>
        </w:rPr>
      </w:pPr>
      <w:r>
        <w:rPr>
          <w:rFonts w:ascii="宋体" w:hAnsi="宋体" w:hint="eastAsia"/>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w:t>
      </w:r>
      <w:r>
        <w:rPr>
          <w:rFonts w:ascii="宋体" w:hAnsi="宋体" w:hint="eastAsia"/>
          <w:b/>
          <w:bCs/>
        </w:rPr>
        <w:t>本次采购产品类别属于政府强制采购产品类别的</w:t>
      </w:r>
      <w:r>
        <w:rPr>
          <w:rFonts w:ascii="宋体" w:hAnsi="宋体" w:hint="eastAsia"/>
        </w:rPr>
        <w:t>，须按照要求提供依据国家确定的认证机构出具的、处于有效期之内的节能产品或环境标志产品认证证书</w:t>
      </w:r>
      <w:r>
        <w:rPr>
          <w:rFonts w:ascii="宋体" w:hAnsi="宋体" w:hint="eastAsia"/>
          <w:sz w:val="24"/>
          <w:szCs w:val="24"/>
        </w:rPr>
        <w:t>（</w:t>
      </w:r>
      <w:r>
        <w:rPr>
          <w:rFonts w:ascii="宋体" w:hAnsi="宋体" w:hint="eastAsia"/>
          <w:b/>
          <w:bCs/>
          <w:color w:val="0000FF"/>
          <w:kern w:val="0"/>
        </w:rPr>
        <w:t>投标文件商务、技术证明文件正本中提供复印件加盖投标人公章，副本中可为正</w:t>
      </w:r>
      <w:r>
        <w:rPr>
          <w:rFonts w:ascii="宋体" w:hAnsi="宋体" w:hint="eastAsia"/>
          <w:b/>
          <w:bCs/>
          <w:color w:val="0000FF"/>
          <w:kern w:val="0"/>
        </w:rPr>
        <w:lastRenderedPageBreak/>
        <w:t>本的复印件</w:t>
      </w:r>
      <w:r>
        <w:rPr>
          <w:rFonts w:ascii="宋体" w:hAnsi="宋体" w:hint="eastAsia"/>
          <w:sz w:val="24"/>
          <w:szCs w:val="24"/>
        </w:rPr>
        <w:t>）</w:t>
      </w:r>
      <w:r>
        <w:rPr>
          <w:rFonts w:ascii="宋体" w:hAnsi="宋体" w:hint="eastAsia"/>
        </w:rPr>
        <w:t>，</w:t>
      </w:r>
      <w:r>
        <w:rPr>
          <w:rFonts w:ascii="宋体" w:hAnsi="宋体" w:hint="eastAsia"/>
          <w:b/>
          <w:bCs/>
        </w:rPr>
        <w:t>否则投标无效</w:t>
      </w:r>
      <w:r>
        <w:rPr>
          <w:rFonts w:ascii="宋体" w:hAnsi="宋体" w:hint="eastAsia"/>
        </w:rPr>
        <w:t>；属于政府优先采购产品类别的，须按照要求提供依据国家确定的认证机构出具的、处于有效期之内的节能产品或环境标志产品认证证书</w:t>
      </w:r>
      <w:r>
        <w:rPr>
          <w:rFonts w:ascii="宋体" w:hAnsi="宋体" w:hint="eastAsia"/>
          <w:b/>
          <w:bCs/>
          <w:color w:val="0000FF"/>
        </w:rPr>
        <w:t>（</w:t>
      </w:r>
      <w:r>
        <w:rPr>
          <w:rFonts w:ascii="宋体" w:hAnsi="宋体" w:hint="eastAsia"/>
          <w:b/>
          <w:bCs/>
          <w:color w:val="0000FF"/>
          <w:kern w:val="0"/>
        </w:rPr>
        <w:t>投标文件商务、技术证明文件正本中提供复印件加盖投标人公章，副本中可为正本的复印件</w:t>
      </w:r>
      <w:r>
        <w:rPr>
          <w:rFonts w:ascii="宋体" w:hAnsi="宋体" w:hint="eastAsia"/>
          <w:sz w:val="24"/>
          <w:szCs w:val="24"/>
        </w:rPr>
        <w:t>）</w:t>
      </w:r>
      <w:r>
        <w:rPr>
          <w:rFonts w:ascii="宋体" w:hAnsi="宋体" w:hint="eastAsia"/>
          <w:b/>
          <w:bCs/>
          <w:color w:val="0000FF"/>
        </w:rPr>
        <w:t>）</w:t>
      </w:r>
      <w:r>
        <w:rPr>
          <w:rFonts w:ascii="宋体" w:hAnsi="宋体" w:hint="eastAsia"/>
        </w:rPr>
        <w:t>，否则不予认定。</w:t>
      </w:r>
    </w:p>
    <w:p w:rsidR="00416C1F" w:rsidRDefault="00416C1F" w:rsidP="00416C1F">
      <w:pPr>
        <w:numPr>
          <w:ilvl w:val="1"/>
          <w:numId w:val="4"/>
        </w:numPr>
        <w:spacing w:line="400" w:lineRule="exact"/>
        <w:ind w:firstLineChars="200" w:firstLine="562"/>
        <w:rPr>
          <w:rFonts w:ascii="仿宋" w:eastAsia="仿宋" w:hAnsi="仿宋" w:hint="eastAsia"/>
          <w:b/>
          <w:bCs/>
          <w:color w:val="000000"/>
          <w:sz w:val="28"/>
          <w:szCs w:val="28"/>
        </w:rPr>
      </w:pPr>
      <w:r>
        <w:rPr>
          <w:rFonts w:ascii="仿宋" w:eastAsia="仿宋" w:hAnsi="仿宋" w:hint="eastAsia"/>
          <w:b/>
          <w:bCs/>
          <w:color w:val="000000"/>
          <w:sz w:val="28"/>
          <w:szCs w:val="28"/>
        </w:rPr>
        <w:t>信息安全产品</w:t>
      </w:r>
    </w:p>
    <w:p w:rsidR="00416C1F" w:rsidRDefault="00416C1F" w:rsidP="00416C1F">
      <w:pPr>
        <w:spacing w:line="400" w:lineRule="exact"/>
        <w:ind w:firstLineChars="200" w:firstLine="420"/>
        <w:rPr>
          <w:rFonts w:ascii="宋体" w:hint="eastAsia"/>
          <w:sz w:val="24"/>
          <w:szCs w:val="24"/>
        </w:rPr>
      </w:pPr>
      <w:r>
        <w:rPr>
          <w:rFonts w:ascii="宋体" w:hAnsi="宋体" w:hint="eastAsia"/>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ascii="宋体" w:hAnsi="宋体" w:hint="eastAsia"/>
          <w:b/>
          <w:bCs/>
          <w:color w:val="0000FF"/>
          <w:kern w:val="0"/>
        </w:rPr>
        <w:t>（投标文件商务、技术证明文件正本中提供复印件加盖投标人公章，副本中可为正本的复印件）</w:t>
      </w:r>
      <w:r>
        <w:rPr>
          <w:rFonts w:ascii="宋体" w:hAnsi="宋体" w:hint="eastAsia"/>
          <w:sz w:val="24"/>
          <w:szCs w:val="24"/>
        </w:rPr>
        <w:t>。</w:t>
      </w:r>
    </w:p>
    <w:p w:rsidR="000E35F1" w:rsidRDefault="000E35F1">
      <w:pPr>
        <w:rPr>
          <w:rFonts w:hint="eastAsia"/>
        </w:rPr>
      </w:pPr>
    </w:p>
    <w:sectPr w:rsidR="000E35F1" w:rsidSect="000E35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8B6" w:rsidRDefault="006878B6" w:rsidP="00416C1F">
      <w:r>
        <w:separator/>
      </w:r>
    </w:p>
  </w:endnote>
  <w:endnote w:type="continuationSeparator" w:id="0">
    <w:p w:rsidR="006878B6" w:rsidRDefault="006878B6" w:rsidP="00416C1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Book Antiqua">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8B6" w:rsidRDefault="006878B6" w:rsidP="00416C1F">
      <w:r>
        <w:separator/>
      </w:r>
    </w:p>
  </w:footnote>
  <w:footnote w:type="continuationSeparator" w:id="0">
    <w:p w:rsidR="006878B6" w:rsidRDefault="006878B6" w:rsidP="00416C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C47A2"/>
    <w:multiLevelType w:val="multilevel"/>
    <w:tmpl w:val="B2E200BA"/>
    <w:lvl w:ilvl="0">
      <w:start w:val="1"/>
      <w:numFmt w:val="decimal"/>
      <w:lvlText w:val="%1."/>
      <w:lvlJc w:val="left"/>
      <w:pPr>
        <w:ind w:left="840" w:hanging="420"/>
      </w:pPr>
      <w:rPr>
        <w:rFonts w:ascii="宋体" w:eastAsia="宋体" w:hAnsi="宋体" w:hint="eastAsia"/>
      </w:rPr>
    </w:lvl>
    <w:lvl w:ilvl="1">
      <w:start w:val="1"/>
      <w:numFmt w:val="japaneseCounting"/>
      <w:lvlText w:val="（%2）"/>
      <w:lvlJc w:val="left"/>
      <w:pPr>
        <w:ind w:left="1725" w:hanging="885"/>
      </w:pPr>
      <w:rPr>
        <w:rFonts w:ascii="Times New Roman" w:hAnsi="Times New Roman" w:cs="Times New Roman" w:hint="default"/>
      </w:rPr>
    </w:lvl>
    <w:lvl w:ilvl="2">
      <w:start w:val="1"/>
      <w:numFmt w:val="decimal"/>
      <w:suff w:val="nothing"/>
      <w:lvlText w:val="%3."/>
      <w:lvlJc w:val="left"/>
      <w:pPr>
        <w:ind w:left="0" w:firstLine="0"/>
      </w:pPr>
      <w:rPr>
        <w:rFonts w:ascii="宋体" w:eastAsia="宋体" w:hAnsi="宋体" w:hint="eastAsia"/>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1">
    <w:nsid w:val="25684AC5"/>
    <w:multiLevelType w:val="multilevel"/>
    <w:tmpl w:val="39164FC6"/>
    <w:lvl w:ilvl="0">
      <w:start w:val="1"/>
      <w:numFmt w:val="chineseCountingThousand"/>
      <w:lvlText w:val="(%1)"/>
      <w:lvlJc w:val="left"/>
      <w:pPr>
        <w:ind w:left="982" w:hanging="420"/>
      </w:pPr>
      <w:rPr>
        <w:rFonts w:ascii="Times New Roman" w:hAnsi="Times New Roman" w:cs="Times New Roman" w:hint="default"/>
      </w:rPr>
    </w:lvl>
    <w:lvl w:ilvl="1">
      <w:start w:val="1"/>
      <w:numFmt w:val="chineseCountingThousand"/>
      <w:suff w:val="nothing"/>
      <w:lvlText w:val="(%2)"/>
      <w:lvlJc w:val="left"/>
      <w:pPr>
        <w:ind w:left="0" w:firstLine="0"/>
      </w:pPr>
      <w:rPr>
        <w:rFonts w:ascii="宋体" w:eastAsia="宋体" w:hAnsi="宋体" w:hint="eastAsia"/>
      </w:rPr>
    </w:lvl>
    <w:lvl w:ilvl="2">
      <w:start w:val="1"/>
      <w:numFmt w:val="lowerRoman"/>
      <w:lvlText w:val="%3."/>
      <w:lvlJc w:val="right"/>
      <w:pPr>
        <w:ind w:left="1822" w:hanging="420"/>
      </w:pPr>
      <w:rPr>
        <w:rFonts w:ascii="Times New Roman" w:hAnsi="Times New Roman" w:cs="Times New Roman" w:hint="default"/>
      </w:rPr>
    </w:lvl>
    <w:lvl w:ilvl="3">
      <w:start w:val="1"/>
      <w:numFmt w:val="decimal"/>
      <w:lvlText w:val="%4."/>
      <w:lvlJc w:val="left"/>
      <w:pPr>
        <w:ind w:left="2242" w:hanging="420"/>
      </w:pPr>
      <w:rPr>
        <w:rFonts w:ascii="Times New Roman" w:hAnsi="Times New Roman" w:cs="Times New Roman" w:hint="default"/>
      </w:rPr>
    </w:lvl>
    <w:lvl w:ilvl="4">
      <w:start w:val="1"/>
      <w:numFmt w:val="lowerLetter"/>
      <w:lvlText w:val="%5)"/>
      <w:lvlJc w:val="left"/>
      <w:pPr>
        <w:ind w:left="2662" w:hanging="420"/>
      </w:pPr>
      <w:rPr>
        <w:rFonts w:ascii="Times New Roman" w:hAnsi="Times New Roman" w:cs="Times New Roman" w:hint="default"/>
      </w:rPr>
    </w:lvl>
    <w:lvl w:ilvl="5">
      <w:start w:val="1"/>
      <w:numFmt w:val="lowerRoman"/>
      <w:lvlText w:val="%6."/>
      <w:lvlJc w:val="right"/>
      <w:pPr>
        <w:ind w:left="3082" w:hanging="420"/>
      </w:pPr>
      <w:rPr>
        <w:rFonts w:ascii="Times New Roman" w:hAnsi="Times New Roman" w:cs="Times New Roman" w:hint="default"/>
      </w:rPr>
    </w:lvl>
    <w:lvl w:ilvl="6">
      <w:start w:val="1"/>
      <w:numFmt w:val="decimal"/>
      <w:lvlText w:val="%7."/>
      <w:lvlJc w:val="left"/>
      <w:pPr>
        <w:ind w:left="3502" w:hanging="420"/>
      </w:pPr>
      <w:rPr>
        <w:rFonts w:ascii="Times New Roman" w:hAnsi="Times New Roman" w:cs="Times New Roman" w:hint="default"/>
      </w:rPr>
    </w:lvl>
    <w:lvl w:ilvl="7">
      <w:start w:val="1"/>
      <w:numFmt w:val="lowerLetter"/>
      <w:lvlText w:val="%8)"/>
      <w:lvlJc w:val="left"/>
      <w:pPr>
        <w:ind w:left="3922" w:hanging="420"/>
      </w:pPr>
      <w:rPr>
        <w:rFonts w:ascii="Times New Roman" w:hAnsi="Times New Roman" w:cs="Times New Roman" w:hint="default"/>
      </w:rPr>
    </w:lvl>
    <w:lvl w:ilvl="8">
      <w:start w:val="1"/>
      <w:numFmt w:val="lowerRoman"/>
      <w:lvlText w:val="%9."/>
      <w:lvlJc w:val="right"/>
      <w:pPr>
        <w:ind w:left="4342" w:hanging="420"/>
      </w:pPr>
      <w:rPr>
        <w:rFonts w:ascii="Times New Roman" w:hAnsi="Times New Roman" w:cs="Times New Roman" w:hint="default"/>
      </w:rPr>
    </w:lvl>
  </w:abstractNum>
  <w:abstractNum w:abstractNumId="2">
    <w:nsid w:val="5DC22976"/>
    <w:multiLevelType w:val="multilevel"/>
    <w:tmpl w:val="9306C95A"/>
    <w:lvl w:ilvl="0">
      <w:start w:val="1"/>
      <w:numFmt w:val="decimal"/>
      <w:lvlText w:val="%1."/>
      <w:lvlJc w:val="left"/>
      <w:pPr>
        <w:ind w:left="845" w:hanging="420"/>
      </w:pPr>
      <w:rPr>
        <w:rFonts w:ascii="宋体" w:eastAsia="宋体" w:hAnsi="宋体" w:hint="eastAsia"/>
      </w:rPr>
    </w:lvl>
    <w:lvl w:ilvl="1">
      <w:start w:val="1"/>
      <w:numFmt w:val="lowerLetter"/>
      <w:lvlText w:val="%2)"/>
      <w:lvlJc w:val="left"/>
      <w:pPr>
        <w:ind w:left="1265" w:hanging="420"/>
      </w:pPr>
      <w:rPr>
        <w:rFonts w:ascii="Times New Roman" w:hAnsi="Times New Roman" w:cs="Times New Roman" w:hint="default"/>
      </w:rPr>
    </w:lvl>
    <w:lvl w:ilvl="2">
      <w:start w:val="1"/>
      <w:numFmt w:val="decimal"/>
      <w:suff w:val="nothing"/>
      <w:lvlText w:val="%3."/>
      <w:lvlJc w:val="left"/>
      <w:pPr>
        <w:ind w:left="0" w:firstLine="0"/>
      </w:pPr>
      <w:rPr>
        <w:rFonts w:ascii="宋体" w:eastAsia="宋体" w:hAnsi="宋体" w:hint="eastAsia"/>
      </w:rPr>
    </w:lvl>
    <w:lvl w:ilvl="3">
      <w:start w:val="1"/>
      <w:numFmt w:val="decimal"/>
      <w:lvlText w:val="%4."/>
      <w:lvlJc w:val="left"/>
      <w:pPr>
        <w:ind w:left="2105" w:hanging="420"/>
      </w:pPr>
      <w:rPr>
        <w:rFonts w:ascii="Times New Roman" w:hAnsi="Times New Roman" w:cs="Times New Roman" w:hint="default"/>
      </w:rPr>
    </w:lvl>
    <w:lvl w:ilvl="4">
      <w:start w:val="1"/>
      <w:numFmt w:val="lowerLetter"/>
      <w:lvlText w:val="%5)"/>
      <w:lvlJc w:val="left"/>
      <w:pPr>
        <w:ind w:left="2525" w:hanging="420"/>
      </w:pPr>
      <w:rPr>
        <w:rFonts w:ascii="Times New Roman" w:hAnsi="Times New Roman" w:cs="Times New Roman" w:hint="default"/>
      </w:rPr>
    </w:lvl>
    <w:lvl w:ilvl="5">
      <w:start w:val="1"/>
      <w:numFmt w:val="lowerRoman"/>
      <w:lvlText w:val="%6."/>
      <w:lvlJc w:val="right"/>
      <w:pPr>
        <w:ind w:left="2945" w:hanging="420"/>
      </w:pPr>
      <w:rPr>
        <w:rFonts w:ascii="Times New Roman" w:hAnsi="Times New Roman" w:cs="Times New Roman" w:hint="default"/>
      </w:rPr>
    </w:lvl>
    <w:lvl w:ilvl="6">
      <w:start w:val="1"/>
      <w:numFmt w:val="decimal"/>
      <w:lvlText w:val="%7."/>
      <w:lvlJc w:val="left"/>
      <w:pPr>
        <w:ind w:left="3365" w:hanging="420"/>
      </w:pPr>
      <w:rPr>
        <w:rFonts w:ascii="Times New Roman" w:hAnsi="Times New Roman" w:cs="Times New Roman" w:hint="default"/>
      </w:rPr>
    </w:lvl>
    <w:lvl w:ilvl="7">
      <w:start w:val="1"/>
      <w:numFmt w:val="lowerLetter"/>
      <w:lvlText w:val="%8)"/>
      <w:lvlJc w:val="left"/>
      <w:pPr>
        <w:ind w:left="3785" w:hanging="420"/>
      </w:pPr>
      <w:rPr>
        <w:rFonts w:ascii="Times New Roman" w:hAnsi="Times New Roman" w:cs="Times New Roman" w:hint="default"/>
      </w:rPr>
    </w:lvl>
    <w:lvl w:ilvl="8">
      <w:start w:val="1"/>
      <w:numFmt w:val="lowerRoman"/>
      <w:lvlText w:val="%9."/>
      <w:lvlJc w:val="right"/>
      <w:pPr>
        <w:ind w:left="4205" w:hanging="420"/>
      </w:pPr>
      <w:rPr>
        <w:rFonts w:ascii="Times New Roman" w:hAnsi="Times New Roman" w:cs="Times New Roman" w:hint="default"/>
      </w:rPr>
    </w:lvl>
  </w:abstractNum>
  <w:abstractNum w:abstractNumId="3">
    <w:nsid w:val="6F2A72EC"/>
    <w:multiLevelType w:val="multilevel"/>
    <w:tmpl w:val="2AA0A2EE"/>
    <w:lvl w:ilvl="0">
      <w:start w:val="1"/>
      <w:numFmt w:val="decimal"/>
      <w:lvlText w:val="%1."/>
      <w:lvlJc w:val="left"/>
      <w:pPr>
        <w:ind w:left="840" w:hanging="420"/>
      </w:pPr>
      <w:rPr>
        <w:rFonts w:ascii="Times New Roman" w:hAnsi="Times New Roman" w:cs="Times New Roman" w:hint="default"/>
      </w:rPr>
    </w:lvl>
    <w:lvl w:ilvl="1">
      <w:start w:val="1"/>
      <w:numFmt w:val="lowerLetter"/>
      <w:lvlText w:val="%2)"/>
      <w:lvlJc w:val="left"/>
      <w:pPr>
        <w:ind w:left="1260" w:hanging="420"/>
      </w:pPr>
      <w:rPr>
        <w:rFonts w:ascii="Times New Roman" w:hAnsi="Times New Roman" w:cs="Times New Roman" w:hint="default"/>
      </w:rPr>
    </w:lvl>
    <w:lvl w:ilvl="2">
      <w:start w:val="1"/>
      <w:numFmt w:val="decimal"/>
      <w:suff w:val="nothing"/>
      <w:lvlText w:val="%3."/>
      <w:lvlJc w:val="left"/>
      <w:pPr>
        <w:ind w:left="0" w:firstLine="0"/>
      </w:pPr>
      <w:rPr>
        <w:rFonts w:ascii="宋体" w:eastAsia="宋体" w:hAnsi="宋体" w:hint="eastAsia"/>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4">
    <w:nsid w:val="701E78B2"/>
    <w:multiLevelType w:val="multilevel"/>
    <w:tmpl w:val="CDFE3A0A"/>
    <w:lvl w:ilvl="0">
      <w:start w:val="1"/>
      <w:numFmt w:val="japaneseCounting"/>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japaneseCounting"/>
      <w:lvlText w:val="%4、"/>
      <w:lvlJc w:val="left"/>
      <w:pPr>
        <w:ind w:left="0" w:firstLine="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5">
    <w:nsid w:val="7BF1165E"/>
    <w:multiLevelType w:val="multilevel"/>
    <w:tmpl w:val="74F8BCEA"/>
    <w:lvl w:ilvl="0">
      <w:start w:val="1"/>
      <w:numFmt w:val="decimal"/>
      <w:suff w:val="nothing"/>
      <w:lvlText w:val="（%1）"/>
      <w:lvlJc w:val="left"/>
      <w:pPr>
        <w:ind w:left="0" w:firstLine="0"/>
      </w:pPr>
      <w:rPr>
        <w:rFonts w:ascii="Times New Roman" w:hAnsi="Times New Roman" w:cs="Times New Roman" w:hint="default"/>
      </w:rPr>
    </w:lvl>
    <w:lvl w:ilvl="1">
      <w:start w:val="1"/>
      <w:numFmt w:val="lowerLetter"/>
      <w:lvlText w:val="%2)"/>
      <w:lvlJc w:val="left"/>
      <w:pPr>
        <w:ind w:left="1264" w:hanging="420"/>
      </w:pPr>
      <w:rPr>
        <w:rFonts w:ascii="Times New Roman" w:hAnsi="Times New Roman" w:cs="Times New Roman" w:hint="default"/>
      </w:rPr>
    </w:lvl>
    <w:lvl w:ilvl="2">
      <w:start w:val="1"/>
      <w:numFmt w:val="lowerRoman"/>
      <w:lvlText w:val="%3."/>
      <w:lvlJc w:val="right"/>
      <w:pPr>
        <w:ind w:left="1684" w:hanging="420"/>
      </w:pPr>
      <w:rPr>
        <w:rFonts w:ascii="Times New Roman" w:hAnsi="Times New Roman" w:cs="Times New Roman" w:hint="default"/>
      </w:rPr>
    </w:lvl>
    <w:lvl w:ilvl="3">
      <w:start w:val="1"/>
      <w:numFmt w:val="decimal"/>
      <w:lvlText w:val="%4."/>
      <w:lvlJc w:val="left"/>
      <w:pPr>
        <w:ind w:left="2104" w:hanging="420"/>
      </w:pPr>
      <w:rPr>
        <w:rFonts w:ascii="Times New Roman" w:hAnsi="Times New Roman" w:cs="Times New Roman" w:hint="default"/>
      </w:rPr>
    </w:lvl>
    <w:lvl w:ilvl="4">
      <w:start w:val="1"/>
      <w:numFmt w:val="lowerLetter"/>
      <w:lvlText w:val="%5)"/>
      <w:lvlJc w:val="left"/>
      <w:pPr>
        <w:ind w:left="2524" w:hanging="420"/>
      </w:pPr>
      <w:rPr>
        <w:rFonts w:ascii="Times New Roman" w:hAnsi="Times New Roman" w:cs="Times New Roman" w:hint="default"/>
      </w:rPr>
    </w:lvl>
    <w:lvl w:ilvl="5">
      <w:start w:val="1"/>
      <w:numFmt w:val="lowerRoman"/>
      <w:lvlText w:val="%6."/>
      <w:lvlJc w:val="right"/>
      <w:pPr>
        <w:ind w:left="2944" w:hanging="420"/>
      </w:pPr>
      <w:rPr>
        <w:rFonts w:ascii="Times New Roman" w:hAnsi="Times New Roman" w:cs="Times New Roman" w:hint="default"/>
      </w:rPr>
    </w:lvl>
    <w:lvl w:ilvl="6">
      <w:start w:val="1"/>
      <w:numFmt w:val="decimal"/>
      <w:lvlText w:val="%7."/>
      <w:lvlJc w:val="left"/>
      <w:pPr>
        <w:ind w:left="3364" w:hanging="420"/>
      </w:pPr>
      <w:rPr>
        <w:rFonts w:ascii="Times New Roman" w:hAnsi="Times New Roman" w:cs="Times New Roman" w:hint="default"/>
      </w:rPr>
    </w:lvl>
    <w:lvl w:ilvl="7">
      <w:start w:val="1"/>
      <w:numFmt w:val="lowerLetter"/>
      <w:lvlText w:val="%8)"/>
      <w:lvlJc w:val="left"/>
      <w:pPr>
        <w:ind w:left="3784" w:hanging="420"/>
      </w:pPr>
      <w:rPr>
        <w:rFonts w:ascii="Times New Roman" w:hAnsi="Times New Roman" w:cs="Times New Roman" w:hint="default"/>
      </w:rPr>
    </w:lvl>
    <w:lvl w:ilvl="8">
      <w:start w:val="1"/>
      <w:numFmt w:val="lowerRoman"/>
      <w:lvlText w:val="%9."/>
      <w:lvlJc w:val="right"/>
      <w:pPr>
        <w:ind w:left="4204" w:hanging="420"/>
      </w:pPr>
      <w:rPr>
        <w:rFonts w:ascii="Times New Roman" w:hAnsi="Times New Roman" w:cs="Times New Roman"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6C1F"/>
    <w:rsid w:val="000E35F1"/>
    <w:rsid w:val="00241AF9"/>
    <w:rsid w:val="00416C1F"/>
    <w:rsid w:val="006878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1F"/>
    <w:pPr>
      <w:widowControl w:val="0"/>
      <w:jc w:val="both"/>
    </w:pPr>
    <w:rPr>
      <w:rFonts w:ascii="Book Antiqua" w:eastAsia="宋体" w:hAnsi="Book Antiqua" w:cs="宋体"/>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6C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6C1F"/>
    <w:rPr>
      <w:sz w:val="18"/>
      <w:szCs w:val="18"/>
    </w:rPr>
  </w:style>
  <w:style w:type="paragraph" w:styleId="a4">
    <w:name w:val="footer"/>
    <w:basedOn w:val="a"/>
    <w:link w:val="Char0"/>
    <w:uiPriority w:val="99"/>
    <w:semiHidden/>
    <w:unhideWhenUsed/>
    <w:rsid w:val="00416C1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6C1F"/>
    <w:rPr>
      <w:sz w:val="18"/>
      <w:szCs w:val="18"/>
    </w:rPr>
  </w:style>
  <w:style w:type="paragraph" w:styleId="a5">
    <w:name w:val="Title"/>
    <w:basedOn w:val="a"/>
    <w:link w:val="Char1"/>
    <w:uiPriority w:val="99"/>
    <w:qFormat/>
    <w:rsid w:val="00416C1F"/>
    <w:pPr>
      <w:jc w:val="center"/>
      <w:outlineLvl w:val="0"/>
    </w:pPr>
    <w:rPr>
      <w:rFonts w:ascii="Arial" w:hAnsi="Arial" w:cs="Arial"/>
      <w:b/>
      <w:bCs/>
      <w:sz w:val="32"/>
      <w:szCs w:val="32"/>
    </w:rPr>
  </w:style>
  <w:style w:type="character" w:customStyle="1" w:styleId="Char1">
    <w:name w:val="标题 Char"/>
    <w:basedOn w:val="a0"/>
    <w:link w:val="a5"/>
    <w:uiPriority w:val="99"/>
    <w:rsid w:val="00416C1F"/>
    <w:rPr>
      <w:rFonts w:ascii="Arial" w:eastAsia="宋体" w:hAnsi="Arial" w:cs="Arial"/>
      <w:b/>
      <w:bCs/>
      <w:sz w:val="32"/>
      <w:szCs w:val="32"/>
    </w:rPr>
  </w:style>
</w:styles>
</file>

<file path=word/webSettings.xml><?xml version="1.0" encoding="utf-8"?>
<w:webSettings xmlns:r="http://schemas.openxmlformats.org/officeDocument/2006/relationships" xmlns:w="http://schemas.openxmlformats.org/wordprocessingml/2006/main">
  <w:divs>
    <w:div w:id="17184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444</Words>
  <Characters>2531</Characters>
  <Application>Microsoft Office Word</Application>
  <DocSecurity>0</DocSecurity>
  <Lines>21</Lines>
  <Paragraphs>5</Paragraphs>
  <ScaleCrop>false</ScaleCrop>
  <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2020-05-15T06:44:00Z</dcterms:created>
  <dcterms:modified xsi:type="dcterms:W3CDTF">2020-05-15T06:44:00Z</dcterms:modified>
</cp:coreProperties>
</file>