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40" w:firstLineChars="200"/>
        <w:rPr>
          <w:rFonts w:ascii="仿宋" w:hAnsi="仿宋" w:eastAsia="仿宋" w:cs="仿宋"/>
          <w:sz w:val="32"/>
          <w:szCs w:val="32"/>
        </w:rPr>
      </w:pPr>
      <w:bookmarkStart w:id="12" w:name="_GoBack"/>
      <w:bookmarkEnd w:id="12"/>
      <w:r>
        <w:rPr>
          <w:rFonts w:hint="eastAsia" w:ascii="仿宋" w:hAnsi="仿宋" w:eastAsia="仿宋" w:cs="仿宋"/>
          <w:sz w:val="32"/>
          <w:szCs w:val="32"/>
        </w:rPr>
        <w:t>附件1：</w:t>
      </w:r>
    </w:p>
    <w:p>
      <w:pPr>
        <w:spacing w:after="0" w:line="360" w:lineRule="auto"/>
        <w:ind w:firstLine="883" w:firstLineChars="200"/>
        <w:jc w:val="center"/>
        <w:rPr>
          <w:rFonts w:ascii="仿宋" w:hAnsi="仿宋" w:eastAsia="仿宋" w:cs="仿宋"/>
          <w:b/>
          <w:bCs/>
          <w:sz w:val="44"/>
          <w:szCs w:val="44"/>
        </w:rPr>
      </w:pPr>
      <w:r>
        <w:rPr>
          <w:rFonts w:hint="eastAsia" w:ascii="仿宋" w:hAnsi="仿宋" w:eastAsia="仿宋" w:cs="仿宋"/>
          <w:b/>
          <w:bCs/>
          <w:sz w:val="44"/>
          <w:szCs w:val="44"/>
        </w:rPr>
        <w:t>项目简介</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1、项目名称</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武陟县新时代文明实践中心建设PPP项目</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2、项目类型</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本项目属于新建项目。</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3、项目地址</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本项目位于河南省武陟县。</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4、建设规模和内容</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总建筑面积为3.5万平方米，其中：地上建筑面积2.7万平米，地下建筑面0.8万平方米，项目占地面积为4.8万平方米（73亩）。共建设博物馆、图书馆、文化馆、融媒体中心和工人文化活动中心，并建设地下配套设施等。</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5、合作期限</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本项目合作期为</w:t>
      </w:r>
      <w:r>
        <w:rPr>
          <w:rFonts w:hint="default" w:ascii="仿宋" w:hAnsi="仿宋" w:eastAsia="仿宋" w:cs="仿宋"/>
          <w:sz w:val="24"/>
          <w:szCs w:val="24"/>
        </w:rPr>
        <w:t>20</w:t>
      </w:r>
      <w:r>
        <w:rPr>
          <w:rFonts w:hint="eastAsia" w:ascii="仿宋" w:hAnsi="仿宋" w:eastAsia="仿宋" w:cs="仿宋"/>
          <w:sz w:val="24"/>
          <w:szCs w:val="24"/>
        </w:rPr>
        <w:t>年，其中建设期</w:t>
      </w:r>
      <w:r>
        <w:rPr>
          <w:rFonts w:hint="default" w:ascii="仿宋" w:hAnsi="仿宋" w:eastAsia="仿宋" w:cs="仿宋"/>
          <w:sz w:val="24"/>
          <w:szCs w:val="24"/>
        </w:rPr>
        <w:t>2</w:t>
      </w:r>
      <w:r>
        <w:rPr>
          <w:rFonts w:hint="eastAsia" w:ascii="仿宋" w:hAnsi="仿宋" w:eastAsia="仿宋" w:cs="仿宋"/>
          <w:sz w:val="24"/>
          <w:szCs w:val="24"/>
        </w:rPr>
        <w:t>年，运营期</w:t>
      </w:r>
      <w:r>
        <w:rPr>
          <w:rFonts w:hint="default" w:ascii="仿宋" w:hAnsi="仿宋" w:eastAsia="仿宋" w:cs="仿宋"/>
          <w:sz w:val="24"/>
          <w:szCs w:val="24"/>
        </w:rPr>
        <w:t>18</w:t>
      </w:r>
      <w:r>
        <w:rPr>
          <w:rFonts w:hint="eastAsia" w:ascii="仿宋" w:hAnsi="仿宋" w:eastAsia="仿宋" w:cs="仿宋"/>
          <w:sz w:val="24"/>
          <w:szCs w:val="24"/>
        </w:rPr>
        <w:t>年。</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6、项目运作方式</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本项目拟采用BOT（建设-运营-移交）， 由武陟县人民政府授权武陟县</w:t>
      </w:r>
      <w:r>
        <w:rPr>
          <w:rFonts w:hint="default" w:ascii="仿宋" w:hAnsi="仿宋" w:eastAsia="仿宋" w:cs="仿宋"/>
          <w:sz w:val="24"/>
          <w:szCs w:val="24"/>
        </w:rPr>
        <w:t>文化广电和旅游</w:t>
      </w:r>
      <w:r>
        <w:rPr>
          <w:rFonts w:hint="eastAsia" w:ascii="仿宋" w:hAnsi="仿宋" w:eastAsia="仿宋" w:cs="仿宋"/>
          <w:sz w:val="24"/>
          <w:szCs w:val="24"/>
        </w:rPr>
        <w:t>局作为本项目的实施机构，主要负责项目识别、准备、采购、监管和移交等工作。</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本项目依法定程序选取社会资本方，由政府方出资代表与中选社会资本方共同出资成立项目公司，并与实施机构签订PPP项目合同，负责项目投融资、建设、运营维护工作，并在运营期内提供公共服务。</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7、项目总投资及资金筹措</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本项目总投资估算30363.85万元具体投资构成见下表：</w:t>
      </w:r>
    </w:p>
    <w:p>
      <w:pPr>
        <w:pStyle w:val="2"/>
        <w:spacing w:after="0"/>
        <w:ind w:firstLine="0" w:firstLineChars="0"/>
        <w:jc w:val="center"/>
        <w:rPr>
          <w:lang w:eastAsia="zh-CN"/>
        </w:rPr>
      </w:pPr>
    </w:p>
    <w:p>
      <w:pPr>
        <w:pStyle w:val="2"/>
        <w:jc w:val="center"/>
        <w:rPr>
          <w:rFonts w:hint="eastAsia"/>
        </w:rPr>
      </w:pPr>
      <w:r>
        <w:rPr>
          <w:rFonts w:ascii="Times New Roman" w:hAnsi="Times New Roman" w:eastAsia="仿宋"/>
          <w:szCs w:val="24"/>
        </w:rPr>
        <w:t>总投资构成一览表</w:t>
      </w:r>
    </w:p>
    <w:tbl>
      <w:tblPr>
        <w:tblStyle w:val="11"/>
        <w:tblW w:w="85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275"/>
        <w:gridCol w:w="2022"/>
        <w:gridCol w:w="1241"/>
        <w:gridCol w:w="12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93"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szCs w:val="21"/>
              </w:rPr>
              <w:t>序号</w:t>
            </w:r>
          </w:p>
        </w:tc>
        <w:tc>
          <w:tcPr>
            <w:tcW w:w="2275"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szCs w:val="21"/>
              </w:rPr>
              <w:t>项目</w:t>
            </w:r>
          </w:p>
        </w:tc>
        <w:tc>
          <w:tcPr>
            <w:tcW w:w="2022"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szCs w:val="21"/>
              </w:rPr>
              <w:t>投资额（万元）</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szCs w:val="21"/>
              </w:rPr>
              <w:t>比例</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 w:val="20"/>
                <w:szCs w:val="20"/>
              </w:rPr>
            </w:pPr>
            <w:r>
              <w:rPr>
                <w:rFonts w:ascii="Times New Roman" w:hAnsi="Times New Roman" w:eastAsia="仿宋"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93"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1</w:t>
            </w:r>
          </w:p>
        </w:tc>
        <w:tc>
          <w:tcPr>
            <w:tcW w:w="2275"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工程费用</w:t>
            </w:r>
          </w:p>
        </w:tc>
        <w:tc>
          <w:tcPr>
            <w:tcW w:w="2022"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23683.32</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78.00%</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93"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2</w:t>
            </w:r>
          </w:p>
        </w:tc>
        <w:tc>
          <w:tcPr>
            <w:tcW w:w="2275"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工程建设其他费用</w:t>
            </w:r>
          </w:p>
        </w:tc>
        <w:tc>
          <w:tcPr>
            <w:tcW w:w="2022"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3633.03</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11.96%</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93"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3</w:t>
            </w:r>
          </w:p>
        </w:tc>
        <w:tc>
          <w:tcPr>
            <w:tcW w:w="2275"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预备费</w:t>
            </w:r>
          </w:p>
        </w:tc>
        <w:tc>
          <w:tcPr>
            <w:tcW w:w="2022"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1365.82</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4.50%</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93"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4</w:t>
            </w:r>
          </w:p>
        </w:tc>
        <w:tc>
          <w:tcPr>
            <w:tcW w:w="2275"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建设期利息</w:t>
            </w:r>
          </w:p>
        </w:tc>
        <w:tc>
          <w:tcPr>
            <w:tcW w:w="2022"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color w:val="FF0000"/>
                <w:szCs w:val="21"/>
                <w:highlight w:val="yellow"/>
              </w:rPr>
            </w:pPr>
            <w:r>
              <w:rPr>
                <w:rFonts w:ascii="Times New Roman" w:hAnsi="Times New Roman" w:eastAsia="仿宋" w:cs="Times New Roman"/>
              </w:rPr>
              <w:t xml:space="preserve">1681.68 </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color w:val="FF0000"/>
                <w:szCs w:val="21"/>
                <w:highlight w:val="yellow"/>
              </w:rPr>
            </w:pPr>
            <w:r>
              <w:rPr>
                <w:rFonts w:ascii="Times New Roman" w:hAnsi="Times New Roman" w:eastAsia="仿宋" w:cs="Times New Roman"/>
              </w:rPr>
              <w:t>5.54%</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93"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5</w:t>
            </w:r>
          </w:p>
        </w:tc>
        <w:tc>
          <w:tcPr>
            <w:tcW w:w="2275"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Cs w:val="21"/>
              </w:rPr>
            </w:pPr>
            <w:r>
              <w:rPr>
                <w:rFonts w:ascii="Times New Roman" w:hAnsi="Times New Roman" w:eastAsia="仿宋" w:cs="Times New Roman"/>
              </w:rPr>
              <w:t>总投资</w:t>
            </w:r>
          </w:p>
        </w:tc>
        <w:tc>
          <w:tcPr>
            <w:tcW w:w="2022"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rPr>
            </w:pPr>
            <w:r>
              <w:rPr>
                <w:rFonts w:ascii="Times New Roman" w:hAnsi="Times New Roman" w:eastAsia="仿宋" w:cs="Times New Roman"/>
              </w:rPr>
              <w:t xml:space="preserve">30363.85 </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rPr>
            </w:pPr>
            <w:r>
              <w:rPr>
                <w:rFonts w:ascii="Times New Roman" w:hAnsi="Times New Roman" w:eastAsia="仿宋" w:cs="Times New Roman"/>
              </w:rPr>
              <w:t>100.00%</w:t>
            </w:r>
          </w:p>
        </w:tc>
        <w:tc>
          <w:tcPr>
            <w:tcW w:w="1241" w:type="dxa"/>
            <w:shd w:val="clear" w:color="auto" w:fill="auto"/>
            <w:noWrap/>
            <w:vAlign w:val="center"/>
          </w:tcPr>
          <w:p>
            <w:pPr>
              <w:spacing w:before="100" w:beforeAutospacing="1" w:after="100" w:afterAutospacing="1" w:line="360" w:lineRule="auto"/>
              <w:jc w:val="center"/>
              <w:rPr>
                <w:rFonts w:ascii="Times New Roman" w:hAnsi="Times New Roman" w:eastAsia="仿宋" w:cs="Times New Roman"/>
                <w:sz w:val="20"/>
                <w:szCs w:val="20"/>
              </w:rPr>
            </w:pPr>
          </w:p>
        </w:tc>
      </w:tr>
    </w:tbl>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项目资本金6363.85</w:t>
      </w:r>
      <w:r>
        <w:rPr>
          <w:rFonts w:ascii="仿宋" w:hAnsi="仿宋" w:eastAsia="仿宋" w:cs="仿宋"/>
          <w:sz w:val="24"/>
          <w:szCs w:val="24"/>
        </w:rPr>
        <w:t>万元为总投资的</w:t>
      </w:r>
      <w:r>
        <w:rPr>
          <w:rFonts w:hint="eastAsia" w:ascii="仿宋" w:hAnsi="仿宋" w:eastAsia="仿宋" w:cs="仿宋"/>
          <w:sz w:val="24"/>
          <w:szCs w:val="24"/>
        </w:rPr>
        <w:t>20.96</w:t>
      </w:r>
      <w:r>
        <w:rPr>
          <w:rFonts w:ascii="仿宋" w:hAnsi="仿宋" w:eastAsia="仿宋" w:cs="仿宋"/>
          <w:sz w:val="24"/>
          <w:szCs w:val="24"/>
        </w:rPr>
        <w:t>%，其余资金24000.00万元由项目公司通过债务融资方式解决，政府不承担融资担保。</w:t>
      </w:r>
    </w:p>
    <w:p>
      <w:pPr>
        <w:spacing w:after="0" w:line="360" w:lineRule="auto"/>
        <w:ind w:firstLine="480" w:firstLineChars="200"/>
      </w:pPr>
      <w:r>
        <w:rPr>
          <w:rFonts w:hint="eastAsia" w:ascii="仿宋" w:hAnsi="仿宋" w:eastAsia="仿宋" w:cs="仿宋"/>
          <w:sz w:val="24"/>
          <w:szCs w:val="24"/>
        </w:rPr>
        <w:t>项目公司注册资本金</w:t>
      </w:r>
      <w:r>
        <w:rPr>
          <w:rFonts w:hint="default" w:ascii="仿宋" w:hAnsi="仿宋" w:eastAsia="仿宋" w:cs="仿宋"/>
          <w:sz w:val="24"/>
          <w:szCs w:val="24"/>
        </w:rPr>
        <w:t>与项目资本金数额等同</w:t>
      </w:r>
      <w:r>
        <w:rPr>
          <w:rFonts w:hint="eastAsia" w:ascii="仿宋" w:hAnsi="仿宋" w:eastAsia="仿宋" w:cs="仿宋"/>
          <w:sz w:val="24"/>
          <w:szCs w:val="24"/>
        </w:rPr>
        <w:t>，其中武陟县政府出资方代表武陟县汇通市政建设投资有限公司拟占股10%；社会资本方拟占股90%。</w:t>
      </w:r>
    </w:p>
    <w:p>
      <w:pPr>
        <w:spacing w:after="0" w:line="360" w:lineRule="auto"/>
        <w:ind w:firstLine="482" w:firstLineChars="200"/>
        <w:rPr>
          <w:rFonts w:ascii="仿宋" w:hAnsi="仿宋" w:eastAsia="仿宋" w:cs="仿宋"/>
          <w:b/>
          <w:bCs/>
          <w:sz w:val="24"/>
          <w:szCs w:val="24"/>
        </w:rPr>
      </w:pPr>
      <w:bookmarkStart w:id="0" w:name="_Toc32538"/>
      <w:bookmarkStart w:id="1" w:name="_Toc5064"/>
      <w:bookmarkStart w:id="2" w:name="_Toc478544263"/>
      <w:bookmarkStart w:id="3" w:name="_Toc17888"/>
      <w:bookmarkStart w:id="4" w:name="_Toc7136"/>
      <w:bookmarkStart w:id="5" w:name="_Toc8053"/>
      <w:bookmarkStart w:id="6" w:name="_Toc26218"/>
      <w:bookmarkStart w:id="7" w:name="_Toc28076"/>
      <w:r>
        <w:rPr>
          <w:rFonts w:hint="eastAsia" w:ascii="仿宋" w:hAnsi="仿宋" w:eastAsia="仿宋" w:cs="仿宋"/>
          <w:b/>
          <w:bCs/>
          <w:sz w:val="24"/>
          <w:szCs w:val="24"/>
        </w:rPr>
        <w:t>8、风险分担框架</w:t>
      </w:r>
      <w:bookmarkEnd w:id="0"/>
      <w:bookmarkEnd w:id="1"/>
      <w:bookmarkEnd w:id="2"/>
      <w:bookmarkEnd w:id="3"/>
      <w:bookmarkEnd w:id="4"/>
      <w:bookmarkEnd w:id="5"/>
      <w:bookmarkEnd w:id="6"/>
      <w:bookmarkEnd w:id="7"/>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按照风险分担的原则，以及财政部推广应用PPP模式的政策导向，本项目的核心风险分担框架如下：</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融资、设计、建设、运营维护等风险主要由社会资本方承担；</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政策、法律变更等主要由政府方承担；</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不可抗力风险等由政府和社会资本方合理分担。</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9、项目回报机制</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本项目回报机制为“可行性缺口补助”。</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10、招标标的</w:t>
      </w:r>
    </w:p>
    <w:p>
      <w:pPr>
        <w:spacing w:after="0" w:line="360" w:lineRule="auto"/>
        <w:ind w:firstLine="480" w:firstLineChars="200"/>
        <w:rPr>
          <w:rFonts w:hint="eastAsia" w:ascii="仿宋" w:hAnsi="仿宋" w:eastAsia="仿宋" w:cs="仿宋"/>
          <w:sz w:val="24"/>
          <w:szCs w:val="24"/>
        </w:rPr>
      </w:pPr>
      <w:r>
        <w:rPr>
          <w:rFonts w:ascii="仿宋" w:hAnsi="仿宋" w:eastAsia="仿宋" w:cs="仿宋"/>
          <w:sz w:val="24"/>
          <w:szCs w:val="24"/>
        </w:rPr>
        <w:t>①</w:t>
      </w:r>
      <w:r>
        <w:rPr>
          <w:rFonts w:hint="eastAsia" w:ascii="仿宋" w:hAnsi="仿宋" w:eastAsia="仿宋" w:cs="仿宋"/>
          <w:sz w:val="24"/>
          <w:szCs w:val="24"/>
        </w:rPr>
        <w:t>建安费下浮率（≥2%）；</w:t>
      </w:r>
    </w:p>
    <w:p>
      <w:pPr>
        <w:spacing w:after="0" w:line="360" w:lineRule="auto"/>
        <w:ind w:firstLine="480" w:firstLineChars="200"/>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合理利润率（≤7.5%）；</w:t>
      </w:r>
    </w:p>
    <w:p>
      <w:pPr>
        <w:spacing w:after="0" w:line="360" w:lineRule="auto"/>
        <w:ind w:firstLine="480" w:firstLineChars="200"/>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折现率（≤6.0%）；</w:t>
      </w:r>
    </w:p>
    <w:p>
      <w:pPr>
        <w:spacing w:after="0" w:line="360" w:lineRule="auto"/>
        <w:ind w:firstLine="480" w:firstLineChars="200"/>
        <w:rPr>
          <w:rFonts w:hint="eastAsia" w:ascii="仿宋" w:hAnsi="仿宋" w:eastAsia="仿宋" w:cs="仿宋"/>
          <w:sz w:val="24"/>
          <w:szCs w:val="24"/>
        </w:rPr>
      </w:pPr>
      <w:r>
        <w:rPr>
          <w:rFonts w:hint="default" w:ascii="仿宋" w:hAnsi="仿宋" w:eastAsia="仿宋" w:cs="仿宋"/>
          <w:sz w:val="24"/>
          <w:szCs w:val="24"/>
        </w:rPr>
        <w:t>④</w:t>
      </w:r>
      <w:r>
        <w:rPr>
          <w:rFonts w:hint="eastAsia" w:ascii="仿宋" w:hAnsi="仿宋" w:eastAsia="仿宋" w:cs="仿宋"/>
          <w:sz w:val="24"/>
          <w:szCs w:val="24"/>
        </w:rPr>
        <w:t>满负荷年（运营期第4年）起运营成本不高于487.53万元、使用者付费金额不低于469.89万元/年</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11、建设期利息</w:t>
      </w:r>
    </w:p>
    <w:p>
      <w:pPr>
        <w:pStyle w:val="4"/>
        <w:spacing w:after="0"/>
        <w:ind w:left="0" w:leftChars="0" w:firstLine="480"/>
        <w:rPr>
          <w:rFonts w:ascii="仿宋" w:hAnsi="仿宋" w:cs="仿宋"/>
          <w:sz w:val="24"/>
        </w:rPr>
      </w:pPr>
      <w:r>
        <w:rPr>
          <w:rFonts w:hint="eastAsia" w:ascii="仿宋" w:hAnsi="仿宋" w:cs="仿宋"/>
          <w:sz w:val="24"/>
        </w:rPr>
        <w:t xml:space="preserve">    建设期利息以实际融资金额为基数，按实际发生额计入项目总投资，但建设期贷款利率不得超过</w:t>
      </w:r>
      <w:r>
        <w:rPr>
          <w:rFonts w:hint="default" w:ascii="仿宋" w:hAnsi="仿宋" w:cs="仿宋"/>
          <w:sz w:val="24"/>
        </w:rPr>
        <w:t>6.37%</w:t>
      </w:r>
      <w:r>
        <w:rPr>
          <w:rFonts w:hint="eastAsia" w:ascii="仿宋" w:hAnsi="仿宋" w:cs="仿宋"/>
          <w:sz w:val="24"/>
        </w:rPr>
        <w:t>，超出部分不计入建设总投资，由社会资本方承担。</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12、项目财务指标测算表</w:t>
      </w:r>
    </w:p>
    <w:tbl>
      <w:tblPr>
        <w:tblStyle w:val="22"/>
        <w:tblW w:w="8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3345"/>
        <w:gridCol w:w="1290"/>
        <w:gridCol w:w="795"/>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141"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序号</w:t>
            </w:r>
          </w:p>
        </w:tc>
        <w:tc>
          <w:tcPr>
            <w:tcW w:w="4635"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指标名称</w:t>
            </w:r>
          </w:p>
        </w:tc>
        <w:tc>
          <w:tcPr>
            <w:tcW w:w="79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单位</w:t>
            </w:r>
          </w:p>
        </w:tc>
        <w:tc>
          <w:tcPr>
            <w:tcW w:w="1619"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141"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w:t>
            </w:r>
          </w:p>
        </w:tc>
        <w:tc>
          <w:tcPr>
            <w:tcW w:w="334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全投资财务内部收益率</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税后</w:t>
            </w:r>
          </w:p>
        </w:tc>
        <w:tc>
          <w:tcPr>
            <w:tcW w:w="79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p>
        </w:tc>
        <w:tc>
          <w:tcPr>
            <w:tcW w:w="1619"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141"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w:t>
            </w:r>
          </w:p>
        </w:tc>
        <w:tc>
          <w:tcPr>
            <w:tcW w:w="334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资本金内部收益率</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税后</w:t>
            </w:r>
          </w:p>
        </w:tc>
        <w:tc>
          <w:tcPr>
            <w:tcW w:w="79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p>
        </w:tc>
        <w:tc>
          <w:tcPr>
            <w:tcW w:w="1619"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141"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w:t>
            </w:r>
          </w:p>
        </w:tc>
        <w:tc>
          <w:tcPr>
            <w:tcW w:w="334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动态投资回收期</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税后</w:t>
            </w:r>
          </w:p>
        </w:tc>
        <w:tc>
          <w:tcPr>
            <w:tcW w:w="795"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年</w:t>
            </w:r>
          </w:p>
        </w:tc>
        <w:tc>
          <w:tcPr>
            <w:tcW w:w="1619" w:type="dxa"/>
            <w:tcBorders>
              <w:top w:val="single" w:color="000000" w:sz="4" w:space="0"/>
              <w:left w:val="single" w:color="000000" w:sz="4" w:space="0"/>
              <w:bottom w:val="single" w:color="000000" w:sz="4" w:space="0"/>
              <w:right w:val="single" w:color="000000" w:sz="4" w:space="0"/>
            </w:tcBorders>
          </w:tcPr>
          <w:p>
            <w:pPr>
              <w:spacing w:after="0"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19.94</w:t>
            </w:r>
          </w:p>
        </w:tc>
      </w:tr>
    </w:tbl>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13、采购安排</w:t>
      </w:r>
    </w:p>
    <w:p>
      <w:pPr>
        <w:pStyle w:val="29"/>
        <w:spacing w:line="360" w:lineRule="auto"/>
        <w:ind w:firstLine="480"/>
        <w:rPr>
          <w:rFonts w:ascii="仿宋" w:hAnsi="仿宋" w:eastAsia="仿宋" w:cs="仿宋"/>
          <w:kern w:val="2"/>
          <w:sz w:val="24"/>
          <w:szCs w:val="24"/>
        </w:rPr>
      </w:pPr>
      <w:r>
        <w:rPr>
          <w:rFonts w:hint="eastAsia" w:ascii="仿宋" w:hAnsi="仿宋" w:eastAsia="仿宋" w:cs="仿宋"/>
          <w:kern w:val="2"/>
          <w:sz w:val="24"/>
          <w:szCs w:val="24"/>
        </w:rPr>
        <w:t>本项目拟采用公开招标方式采购社会资本方，符合PPP项目采购方式要求。本项目设置资格预审环节，</w:t>
      </w:r>
      <w:r>
        <w:rPr>
          <w:rFonts w:ascii="仿宋" w:hAnsi="仿宋" w:eastAsia="仿宋" w:cs="仿宋"/>
          <w:kern w:val="2"/>
          <w:sz w:val="24"/>
          <w:szCs w:val="24"/>
        </w:rPr>
        <w:t>若有3家以上社会资本通过资格预审的，项目实施机构可以继续开展采购文件的准备工作；若项目通过资格预审的社会资本不足3家的，项目实施机构应调整方案后重新组织资格预审；</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本项目资格预审的条件</w:t>
      </w:r>
      <w:r>
        <w:rPr>
          <w:rFonts w:hint="eastAsia" w:ascii="仿宋" w:hAnsi="仿宋" w:eastAsia="仿宋" w:cs="仿宋"/>
          <w:kern w:val="2"/>
          <w:sz w:val="24"/>
          <w:szCs w:val="24"/>
        </w:rPr>
        <w:t>：</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建议参与本项目资格预审的申请人，应具备以下条件：</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（1）符合《中华人民共和国政府采购法》第二十二条规定的合格供应商条件。</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（2）主体资格要求：投标人必须为依法注册的独立法人。</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（3）投融资：具有满足本项目投融资能力的证明（以银行、保险、证券等金融机构授信或融资承诺函或意向书，或本公告发布后社会资本银行资信证明文件为准）。</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（4）业绩经验要求：</w:t>
      </w:r>
      <w:r>
        <w:rPr>
          <w:rFonts w:hint="eastAsia" w:ascii="仿宋" w:hAnsi="仿宋" w:eastAsia="仿宋" w:cs="仿宋"/>
          <w:kern w:val="2"/>
          <w:sz w:val="24"/>
          <w:szCs w:val="24"/>
        </w:rPr>
        <w:t>近5年内（2014年1月1日起），至少具有一个不少于3亿元投资规模的项目经验，具体业绩要求以招标文件为准。</w:t>
      </w:r>
      <w:r>
        <w:rPr>
          <w:rFonts w:ascii="仿宋" w:hAnsi="仿宋" w:eastAsia="仿宋" w:cs="仿宋"/>
          <w:kern w:val="2"/>
          <w:sz w:val="24"/>
          <w:szCs w:val="24"/>
        </w:rPr>
        <w:t>。</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5）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经营异常名录或者严重违法企业名单的投标人，拒绝参与政府采购活动，同时对信用信息查询记录和证据进行打印存档。投标人应提供信用记录查询结果“信用中国”（www.creditchina.gov.cn）、中国政府采购网（www.ccgp.gov.cn）（网页截图）。</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6）本次招标接受联合体投标，以联合体参加的，联合体成员需签订《联合体协议书》，《联合体协议书》中包括但不限于联合体成员拟出资金额或出资比例、责权利分配、回报和退出机制、违约处理机制等，并承诺一旦成交联合体各方将向采购人承担连带责任，且：</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①联合体成员均应具备独立法人资格、营业执照处于有效期；</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②以联合体形式参加政府采购活动的，联合体各方不得再单独参加或者与其他供应商另外组成联合体参加同一合同项下的政府采购活动；</w:t>
      </w:r>
    </w:p>
    <w:p>
      <w:pPr>
        <w:pStyle w:val="29"/>
        <w:spacing w:line="360" w:lineRule="auto"/>
        <w:ind w:firstLine="480"/>
        <w:rPr>
          <w:rFonts w:ascii="仿宋" w:hAnsi="仿宋" w:eastAsia="仿宋" w:cs="仿宋"/>
          <w:kern w:val="2"/>
          <w:sz w:val="24"/>
          <w:szCs w:val="24"/>
        </w:rPr>
      </w:pPr>
      <w:r>
        <w:rPr>
          <w:rFonts w:ascii="仿宋" w:hAnsi="仿宋" w:eastAsia="仿宋" w:cs="仿宋"/>
          <w:kern w:val="2"/>
          <w:sz w:val="24"/>
          <w:szCs w:val="24"/>
        </w:rPr>
        <w:t>③联合体牵头人法定代表人或其授权的授权代表负责签署本次资格预审申请相关资料，其他联合体各方必须出具承诺函对此予以认可。联合体成员原则上不得超过3家；</w:t>
      </w:r>
    </w:p>
    <w:p>
      <w:pPr>
        <w:pStyle w:val="29"/>
        <w:spacing w:line="360" w:lineRule="auto"/>
        <w:ind w:firstLine="480"/>
      </w:pPr>
      <w:r>
        <w:rPr>
          <w:rFonts w:ascii="仿宋" w:hAnsi="仿宋" w:eastAsia="仿宋" w:cs="仿宋"/>
          <w:kern w:val="2"/>
          <w:sz w:val="24"/>
          <w:szCs w:val="24"/>
        </w:rPr>
        <w:t>④通过资格预审的联合体，不得再变更其组织</w:t>
      </w:r>
      <w:r>
        <w:rPr>
          <w:rFonts w:eastAsia="仿宋"/>
          <w:kern w:val="2"/>
          <w:sz w:val="24"/>
        </w:rPr>
        <w:t>形式及成员构成。</w:t>
      </w:r>
    </w:p>
    <w:p>
      <w:pPr>
        <w:spacing w:after="0" w:line="360" w:lineRule="auto"/>
        <w:ind w:firstLine="482" w:firstLineChars="200"/>
        <w:rPr>
          <w:rFonts w:ascii="仿宋" w:hAnsi="仿宋" w:eastAsia="仿宋" w:cs="仿宋"/>
          <w:b/>
          <w:bCs/>
          <w:sz w:val="24"/>
          <w:szCs w:val="24"/>
        </w:rPr>
      </w:pP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14、履约保障</w:t>
      </w:r>
    </w:p>
    <w:p>
      <w:pPr>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参照《关于印发政府和社会资本方合作模式操作指南（试行）的通知》（财金〔2014〕113号），“履约保证金的数额不得超过政府和社会资本方合作项目初始投资总额或资产评估值的10%”，综合本项目各期工程的预计建设进度，暂定担保形式如下：</w:t>
      </w:r>
    </w:p>
    <w:tbl>
      <w:tblPr>
        <w:tblStyle w:val="11"/>
        <w:tblW w:w="89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618"/>
        <w:gridCol w:w="1918"/>
        <w:gridCol w:w="1816"/>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3" w:type="dxa"/>
            <w:tcBorders>
              <w:top w:val="single" w:color="auto" w:sz="12" w:space="0"/>
              <w:left w:val="single" w:color="auto" w:sz="12"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条款</w:t>
            </w:r>
          </w:p>
        </w:tc>
        <w:tc>
          <w:tcPr>
            <w:tcW w:w="1618" w:type="dxa"/>
            <w:tcBorders>
              <w:top w:val="single" w:color="auto" w:sz="12"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投标保证金</w:t>
            </w:r>
          </w:p>
        </w:tc>
        <w:tc>
          <w:tcPr>
            <w:tcW w:w="1918" w:type="dxa"/>
            <w:tcBorders>
              <w:top w:val="single" w:color="auto" w:sz="12"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建设期履约保函</w:t>
            </w:r>
          </w:p>
        </w:tc>
        <w:tc>
          <w:tcPr>
            <w:tcW w:w="1816" w:type="dxa"/>
            <w:tcBorders>
              <w:top w:val="single" w:color="auto" w:sz="12"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运营维护保函</w:t>
            </w:r>
          </w:p>
        </w:tc>
        <w:tc>
          <w:tcPr>
            <w:tcW w:w="1980" w:type="dxa"/>
            <w:tcBorders>
              <w:top w:val="single" w:color="auto" w:sz="12" w:space="0"/>
              <w:left w:val="single" w:color="auto" w:sz="4" w:space="0"/>
              <w:bottom w:val="single" w:color="auto" w:sz="4" w:space="0"/>
              <w:right w:val="single" w:color="auto" w:sz="12"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移交维修保函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3" w:type="dxa"/>
            <w:tcBorders>
              <w:top w:val="single" w:color="auto" w:sz="4" w:space="0"/>
              <w:left w:val="single" w:color="auto" w:sz="12"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提交主体</w:t>
            </w:r>
          </w:p>
        </w:tc>
        <w:tc>
          <w:tcPr>
            <w:tcW w:w="16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社会资本方</w:t>
            </w:r>
          </w:p>
        </w:tc>
        <w:tc>
          <w:tcPr>
            <w:tcW w:w="19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项目公司</w:t>
            </w:r>
          </w:p>
        </w:tc>
        <w:tc>
          <w:tcPr>
            <w:tcW w:w="181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项目公司</w:t>
            </w:r>
          </w:p>
        </w:tc>
        <w:tc>
          <w:tcPr>
            <w:tcW w:w="1980" w:type="dxa"/>
            <w:tcBorders>
              <w:top w:val="single" w:color="auto" w:sz="4" w:space="0"/>
              <w:left w:val="single" w:color="auto" w:sz="4" w:space="0"/>
              <w:bottom w:val="single" w:color="auto" w:sz="4" w:space="0"/>
              <w:right w:val="single" w:color="auto" w:sz="12"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项目公司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3" w:type="dxa"/>
            <w:tcBorders>
              <w:top w:val="single" w:color="auto" w:sz="4" w:space="0"/>
              <w:left w:val="single" w:color="auto" w:sz="12"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受益人</w:t>
            </w:r>
          </w:p>
        </w:tc>
        <w:tc>
          <w:tcPr>
            <w:tcW w:w="16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政府方</w:t>
            </w:r>
          </w:p>
        </w:tc>
        <w:tc>
          <w:tcPr>
            <w:tcW w:w="19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政府方</w:t>
            </w:r>
          </w:p>
        </w:tc>
        <w:tc>
          <w:tcPr>
            <w:tcW w:w="181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政府方</w:t>
            </w:r>
          </w:p>
        </w:tc>
        <w:tc>
          <w:tcPr>
            <w:tcW w:w="1980" w:type="dxa"/>
            <w:tcBorders>
              <w:top w:val="single" w:color="auto" w:sz="4" w:space="0"/>
              <w:left w:val="single" w:color="auto" w:sz="4" w:space="0"/>
              <w:bottom w:val="single" w:color="auto" w:sz="4" w:space="0"/>
              <w:right w:val="single" w:color="auto" w:sz="12"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政府方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top w:val="single" w:color="auto" w:sz="4" w:space="0"/>
              <w:left w:val="single" w:color="auto" w:sz="12" w:space="0"/>
              <w:bottom w:val="single" w:color="auto" w:sz="12"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履约金额</w:t>
            </w:r>
          </w:p>
        </w:tc>
        <w:tc>
          <w:tcPr>
            <w:tcW w:w="1618" w:type="dxa"/>
            <w:tcBorders>
              <w:top w:val="single" w:color="auto" w:sz="4" w:space="0"/>
              <w:left w:val="single" w:color="auto" w:sz="4" w:space="0"/>
              <w:bottom w:val="single" w:color="auto" w:sz="12" w:space="0"/>
              <w:right w:val="single" w:color="auto" w:sz="4" w:space="0"/>
            </w:tcBorders>
            <w:vAlign w:val="center"/>
          </w:tcPr>
          <w:p>
            <w:pPr>
              <w:spacing w:after="0" w:line="360" w:lineRule="auto"/>
              <w:jc w:val="both"/>
              <w:rPr>
                <w:rFonts w:ascii="仿宋" w:hAnsi="仿宋" w:eastAsia="仿宋" w:cs="仿宋"/>
                <w:sz w:val="24"/>
                <w:szCs w:val="24"/>
              </w:rPr>
            </w:pPr>
            <w:r>
              <w:rPr>
                <w:rFonts w:ascii="仿宋" w:hAnsi="仿宋" w:eastAsia="仿宋" w:cs="仿宋"/>
                <w:sz w:val="24"/>
                <w:szCs w:val="24"/>
              </w:rPr>
              <w:t>80</w:t>
            </w:r>
            <w:r>
              <w:rPr>
                <w:rFonts w:hint="eastAsia" w:ascii="仿宋" w:hAnsi="仿宋" w:eastAsia="仿宋" w:cs="仿宋"/>
                <w:sz w:val="24"/>
                <w:szCs w:val="24"/>
              </w:rPr>
              <w:t>万元</w:t>
            </w:r>
          </w:p>
        </w:tc>
        <w:tc>
          <w:tcPr>
            <w:tcW w:w="1918" w:type="dxa"/>
            <w:tcBorders>
              <w:top w:val="single" w:color="auto" w:sz="4" w:space="0"/>
              <w:left w:val="single" w:color="auto" w:sz="4" w:space="0"/>
              <w:bottom w:val="single" w:color="auto" w:sz="12" w:space="0"/>
              <w:right w:val="single" w:color="auto" w:sz="4" w:space="0"/>
            </w:tcBorders>
            <w:vAlign w:val="center"/>
          </w:tcPr>
          <w:p>
            <w:pPr>
              <w:spacing w:after="0" w:line="360" w:lineRule="auto"/>
              <w:jc w:val="both"/>
              <w:rPr>
                <w:rFonts w:ascii="仿宋" w:hAnsi="仿宋" w:eastAsia="仿宋" w:cs="仿宋"/>
                <w:sz w:val="24"/>
                <w:szCs w:val="24"/>
              </w:rPr>
            </w:pPr>
            <w:r>
              <w:rPr>
                <w:rFonts w:hint="eastAsia" w:ascii="仿宋" w:hAnsi="仿宋" w:eastAsia="仿宋" w:cs="仿宋"/>
                <w:sz w:val="24"/>
                <w:szCs w:val="24"/>
              </w:rPr>
              <w:t>1</w:t>
            </w:r>
            <w:r>
              <w:rPr>
                <w:rFonts w:hint="default" w:ascii="仿宋" w:hAnsi="仿宋" w:eastAsia="仿宋" w:cs="仿宋"/>
                <w:sz w:val="24"/>
                <w:szCs w:val="24"/>
              </w:rPr>
              <w:t>0</w:t>
            </w:r>
            <w:r>
              <w:rPr>
                <w:rFonts w:hint="eastAsia" w:ascii="仿宋" w:hAnsi="仿宋" w:eastAsia="仿宋" w:cs="仿宋"/>
                <w:sz w:val="24"/>
                <w:szCs w:val="24"/>
              </w:rPr>
              <w:t>00万元</w:t>
            </w:r>
          </w:p>
        </w:tc>
        <w:tc>
          <w:tcPr>
            <w:tcW w:w="1816" w:type="dxa"/>
            <w:tcBorders>
              <w:top w:val="single" w:color="auto" w:sz="4" w:space="0"/>
              <w:left w:val="single" w:color="auto" w:sz="4" w:space="0"/>
              <w:bottom w:val="single" w:color="auto" w:sz="12" w:space="0"/>
              <w:right w:val="single" w:color="auto" w:sz="4" w:space="0"/>
            </w:tcBorders>
            <w:vAlign w:val="center"/>
          </w:tcPr>
          <w:p>
            <w:pPr>
              <w:spacing w:after="0" w:line="360" w:lineRule="auto"/>
              <w:jc w:val="both"/>
              <w:rPr>
                <w:rFonts w:ascii="仿宋" w:hAnsi="仿宋" w:eastAsia="仿宋" w:cs="仿宋"/>
                <w:sz w:val="24"/>
                <w:szCs w:val="24"/>
              </w:rPr>
            </w:pPr>
            <w:r>
              <w:rPr>
                <w:rFonts w:ascii="仿宋" w:hAnsi="仿宋" w:eastAsia="仿宋" w:cs="仿宋"/>
                <w:sz w:val="24"/>
                <w:szCs w:val="24"/>
              </w:rPr>
              <w:t>600</w:t>
            </w:r>
            <w:r>
              <w:rPr>
                <w:rFonts w:hint="eastAsia" w:ascii="仿宋" w:hAnsi="仿宋" w:eastAsia="仿宋" w:cs="仿宋"/>
                <w:sz w:val="24"/>
                <w:szCs w:val="24"/>
              </w:rPr>
              <w:t>万元</w:t>
            </w:r>
          </w:p>
        </w:tc>
        <w:tc>
          <w:tcPr>
            <w:tcW w:w="1980" w:type="dxa"/>
            <w:tcBorders>
              <w:top w:val="single" w:color="auto" w:sz="4" w:space="0"/>
              <w:left w:val="single" w:color="auto" w:sz="4" w:space="0"/>
              <w:bottom w:val="single" w:color="auto" w:sz="12" w:space="0"/>
              <w:right w:val="single" w:color="auto" w:sz="12" w:space="0"/>
            </w:tcBorders>
            <w:vAlign w:val="center"/>
          </w:tcPr>
          <w:p>
            <w:pPr>
              <w:spacing w:after="0" w:line="360" w:lineRule="auto"/>
              <w:jc w:val="both"/>
              <w:rPr>
                <w:rFonts w:ascii="仿宋" w:hAnsi="仿宋" w:eastAsia="仿宋" w:cs="仿宋"/>
                <w:sz w:val="24"/>
                <w:szCs w:val="24"/>
              </w:rPr>
            </w:pPr>
            <w:r>
              <w:rPr>
                <w:rFonts w:ascii="仿宋" w:hAnsi="仿宋" w:eastAsia="仿宋" w:cs="仿宋"/>
                <w:sz w:val="24"/>
                <w:szCs w:val="24"/>
              </w:rPr>
              <w:t>800</w:t>
            </w:r>
            <w:r>
              <w:rPr>
                <w:rFonts w:hint="eastAsia" w:ascii="仿宋" w:hAnsi="仿宋" w:eastAsia="仿宋" w:cs="仿宋"/>
                <w:sz w:val="24"/>
                <w:szCs w:val="24"/>
              </w:rPr>
              <w:t>万元</w:t>
            </w:r>
          </w:p>
        </w:tc>
      </w:tr>
    </w:tbl>
    <w:p>
      <w:pPr>
        <w:spacing w:after="0" w:line="360" w:lineRule="auto"/>
        <w:ind w:firstLine="480" w:firstLineChars="200"/>
        <w:rPr>
          <w:rFonts w:ascii="仿宋" w:hAnsi="仿宋" w:eastAsia="仿宋" w:cs="仿宋"/>
          <w:sz w:val="24"/>
          <w:szCs w:val="24"/>
        </w:rPr>
      </w:pPr>
    </w:p>
    <w:p>
      <w:pPr>
        <w:spacing w:after="0" w:line="360" w:lineRule="auto"/>
        <w:ind w:firstLine="482" w:firstLineChars="200"/>
        <w:jc w:val="both"/>
        <w:rPr>
          <w:rFonts w:ascii="Times New Roman" w:hAnsi="Times New Roman" w:eastAsia="仿宋" w:cs="Times New Roman"/>
          <w:b/>
          <w:sz w:val="24"/>
          <w:szCs w:val="28"/>
        </w:rPr>
      </w:pPr>
      <w:r>
        <w:rPr>
          <w:rFonts w:hint="eastAsia" w:ascii="仿宋" w:hAnsi="仿宋" w:eastAsia="仿宋" w:cs="仿宋"/>
          <w:b/>
          <w:bCs/>
          <w:sz w:val="24"/>
          <w:szCs w:val="24"/>
        </w:rPr>
        <w:t>1</w:t>
      </w:r>
      <w:r>
        <w:rPr>
          <w:rFonts w:ascii="仿宋" w:hAnsi="仿宋" w:eastAsia="仿宋" w:cs="仿宋"/>
          <w:b/>
          <w:bCs/>
          <w:sz w:val="24"/>
          <w:szCs w:val="24"/>
        </w:rPr>
        <w:t>5</w:t>
      </w:r>
      <w:r>
        <w:rPr>
          <w:rFonts w:hint="eastAsia" w:ascii="仿宋" w:hAnsi="仿宋" w:eastAsia="仿宋" w:cs="仿宋"/>
          <w:b/>
          <w:bCs/>
          <w:sz w:val="24"/>
          <w:szCs w:val="24"/>
        </w:rPr>
        <w:t>、</w:t>
      </w:r>
      <w:r>
        <w:rPr>
          <w:rFonts w:ascii="Times New Roman" w:hAnsi="Times New Roman" w:eastAsia="仿宋" w:cs="Times New Roman"/>
          <w:b/>
          <w:sz w:val="24"/>
          <w:szCs w:val="28"/>
        </w:rPr>
        <w:t>股权变更与退出机制</w:t>
      </w:r>
    </w:p>
    <w:p>
      <w:pPr>
        <w:spacing w:after="0" w:line="360" w:lineRule="auto"/>
        <w:ind w:firstLine="482" w:firstLineChars="200"/>
        <w:rPr>
          <w:rFonts w:ascii="Times New Roman" w:hAnsi="Times New Roman" w:eastAsia="仿宋" w:cs="Times New Roman"/>
          <w:b/>
          <w:bCs/>
          <w:sz w:val="24"/>
          <w:szCs w:val="28"/>
        </w:rPr>
      </w:pPr>
      <w:r>
        <w:rPr>
          <w:rFonts w:ascii="Times New Roman" w:hAnsi="Times New Roman" w:eastAsia="仿宋" w:cs="Times New Roman"/>
          <w:b/>
          <w:bCs/>
          <w:sz w:val="24"/>
          <w:szCs w:val="28"/>
        </w:rPr>
        <w:t>（1）股权变更限制</w:t>
      </w:r>
    </w:p>
    <w:p>
      <w:pPr>
        <w:spacing w:after="0" w:line="360" w:lineRule="auto"/>
        <w:ind w:firstLine="480" w:firstLineChars="200"/>
        <w:rPr>
          <w:rFonts w:hint="eastAsia" w:ascii="Times New Roman" w:hAnsi="Times New Roman" w:eastAsia="仿宋" w:cs="Times New Roman"/>
          <w:sz w:val="24"/>
          <w:szCs w:val="28"/>
        </w:rPr>
      </w:pPr>
      <w:bookmarkStart w:id="8" w:name="OLE_LINK13"/>
      <w:r>
        <w:rPr>
          <w:rFonts w:hint="eastAsia" w:ascii="Times New Roman" w:hAnsi="Times New Roman" w:eastAsia="仿宋" w:cs="Times New Roman"/>
          <w:sz w:val="24"/>
          <w:szCs w:val="28"/>
        </w:rPr>
        <w:t>本项目进入运营期后5年内，社会资本方不得对外转让全部或部分股权，具体以PPP项目合同约定为准；</w:t>
      </w:r>
    </w:p>
    <w:p>
      <w:pPr>
        <w:spacing w:after="0" w:line="360" w:lineRule="auto"/>
        <w:ind w:firstLine="480" w:firstLineChars="200"/>
        <w:rPr>
          <w:rFonts w:ascii="Times New Roman" w:hAnsi="Times New Roman" w:eastAsia="仿宋" w:cs="Times New Roman"/>
          <w:sz w:val="24"/>
          <w:szCs w:val="28"/>
        </w:rPr>
      </w:pPr>
      <w:r>
        <w:rPr>
          <w:rFonts w:hint="eastAsia" w:ascii="Times New Roman" w:hAnsi="Times New Roman" w:eastAsia="仿宋" w:cs="Times New Roman"/>
          <w:sz w:val="24"/>
          <w:szCs w:val="28"/>
        </w:rPr>
        <w:t>股权锁定期结束后，经政府方同意，社会资本方可以全部或部分对外转让股权。</w:t>
      </w:r>
      <w:bookmarkEnd w:id="8"/>
    </w:p>
    <w:p>
      <w:pPr>
        <w:spacing w:after="0" w:line="360" w:lineRule="auto"/>
        <w:ind w:firstLine="482" w:firstLineChars="200"/>
        <w:rPr>
          <w:rFonts w:ascii="Times New Roman" w:hAnsi="Times New Roman" w:eastAsia="仿宋" w:cs="Times New Roman"/>
          <w:b/>
          <w:sz w:val="24"/>
          <w:szCs w:val="28"/>
        </w:rPr>
      </w:pPr>
      <w:r>
        <w:rPr>
          <w:rFonts w:ascii="Times New Roman" w:hAnsi="Times New Roman" w:eastAsia="仿宋" w:cs="Times New Roman"/>
          <w:b/>
          <w:sz w:val="24"/>
          <w:szCs w:val="28"/>
        </w:rPr>
        <w:t>（2）股权退出机制</w:t>
      </w:r>
    </w:p>
    <w:p>
      <w:pPr>
        <w:spacing w:after="0" w:line="360" w:lineRule="auto"/>
        <w:ind w:firstLine="480" w:firstLineChars="200"/>
        <w:rPr>
          <w:rFonts w:ascii="Times New Roman" w:hAnsi="Times New Roman" w:eastAsia="仿宋" w:cs="Times New Roman"/>
          <w:sz w:val="24"/>
          <w:szCs w:val="28"/>
        </w:rPr>
      </w:pPr>
      <w:r>
        <w:rPr>
          <w:rFonts w:hint="eastAsia" w:ascii="宋体" w:hAnsi="宋体" w:eastAsia="宋体" w:cs="宋体"/>
          <w:sz w:val="24"/>
          <w:szCs w:val="28"/>
        </w:rPr>
        <w:t>①</w:t>
      </w:r>
      <w:r>
        <w:rPr>
          <w:rFonts w:ascii="Times New Roman" w:hAnsi="Times New Roman" w:eastAsia="仿宋" w:cs="Times New Roman"/>
          <w:sz w:val="24"/>
          <w:szCs w:val="28"/>
        </w:rPr>
        <w:t>非正常方式退出</w:t>
      </w:r>
    </w:p>
    <w:p>
      <w:pPr>
        <w:spacing w:after="0" w:line="360" w:lineRule="auto"/>
        <w:ind w:firstLine="480" w:firstLineChars="200"/>
        <w:rPr>
          <w:rFonts w:ascii="Times New Roman" w:hAnsi="Times New Roman" w:eastAsia="仿宋" w:cs="Times New Roman"/>
          <w:sz w:val="24"/>
          <w:szCs w:val="28"/>
        </w:rPr>
      </w:pPr>
      <w:r>
        <w:rPr>
          <w:rFonts w:ascii="Times New Roman" w:hAnsi="Times New Roman" w:eastAsia="仿宋" w:cs="Times New Roman"/>
          <w:sz w:val="24"/>
          <w:szCs w:val="28"/>
        </w:rPr>
        <w:t>a发生实施机构违约事件，实施机构在一定期限内未能补救，项目公司根据本合同约定主张终止PPP项目合同；</w:t>
      </w:r>
    </w:p>
    <w:p>
      <w:pPr>
        <w:spacing w:after="0" w:line="360" w:lineRule="auto"/>
        <w:ind w:firstLine="480" w:firstLineChars="200"/>
        <w:rPr>
          <w:rFonts w:ascii="Times New Roman" w:hAnsi="Times New Roman" w:eastAsia="仿宋" w:cs="Times New Roman"/>
          <w:sz w:val="24"/>
          <w:szCs w:val="28"/>
        </w:rPr>
      </w:pPr>
      <w:r>
        <w:rPr>
          <w:rFonts w:ascii="Times New Roman" w:hAnsi="Times New Roman" w:eastAsia="仿宋" w:cs="Times New Roman"/>
          <w:sz w:val="24"/>
          <w:szCs w:val="28"/>
        </w:rPr>
        <w:t>b发生项目公司违约事件，项目公司和融资方或融资方指定的第三方均未能在规定的期限内对该违约进行补救的，实施机构可根据本合同约定主张终止PPP项目合同。</w:t>
      </w:r>
    </w:p>
    <w:p>
      <w:pPr>
        <w:spacing w:after="0" w:line="360" w:lineRule="auto"/>
        <w:ind w:firstLine="480" w:firstLineChars="200"/>
        <w:rPr>
          <w:rFonts w:ascii="Times New Roman" w:hAnsi="Times New Roman" w:eastAsia="仿宋" w:cs="Times New Roman"/>
          <w:sz w:val="24"/>
          <w:szCs w:val="28"/>
        </w:rPr>
      </w:pPr>
      <w:r>
        <w:rPr>
          <w:rFonts w:ascii="Times New Roman" w:hAnsi="Times New Roman" w:eastAsia="仿宋" w:cs="Times New Roman"/>
          <w:sz w:val="24"/>
          <w:szCs w:val="28"/>
        </w:rPr>
        <w:t>c发生不可抗力事件持续或累计达到本合同约定的期限，任何一方均可主张终止PPP项目合同。</w:t>
      </w:r>
    </w:p>
    <w:p>
      <w:pPr>
        <w:spacing w:after="0" w:line="360" w:lineRule="auto"/>
        <w:ind w:firstLine="480" w:firstLineChars="200"/>
        <w:rPr>
          <w:rFonts w:ascii="Times New Roman" w:hAnsi="Times New Roman" w:eastAsia="仿宋" w:cs="Times New Roman"/>
          <w:sz w:val="24"/>
          <w:szCs w:val="28"/>
        </w:rPr>
      </w:pPr>
      <w:r>
        <w:rPr>
          <w:rFonts w:hint="eastAsia" w:ascii="宋体" w:hAnsi="宋体" w:eastAsia="宋体" w:cs="宋体"/>
          <w:sz w:val="24"/>
          <w:szCs w:val="28"/>
        </w:rPr>
        <w:t>②</w:t>
      </w:r>
      <w:r>
        <w:rPr>
          <w:rFonts w:ascii="Times New Roman" w:hAnsi="Times New Roman" w:eastAsia="仿宋" w:cs="Times New Roman"/>
          <w:sz w:val="24"/>
          <w:szCs w:val="28"/>
        </w:rPr>
        <w:t>正常方式退出</w:t>
      </w:r>
    </w:p>
    <w:p>
      <w:pPr>
        <w:spacing w:after="0" w:line="360" w:lineRule="auto"/>
        <w:ind w:firstLine="480" w:firstLineChars="200"/>
        <w:rPr>
          <w:rFonts w:ascii="Times New Roman" w:hAnsi="Times New Roman" w:eastAsia="仿宋" w:cs="Times New Roman"/>
          <w:sz w:val="24"/>
          <w:szCs w:val="28"/>
        </w:rPr>
      </w:pPr>
      <w:r>
        <w:rPr>
          <w:rFonts w:ascii="Times New Roman" w:hAnsi="Times New Roman" w:eastAsia="仿宋" w:cs="Times New Roman"/>
          <w:sz w:val="24"/>
          <w:szCs w:val="28"/>
        </w:rPr>
        <w:t>a项目公司依据本合同的约定，履行完PPP项目合同项下所有的权利和义务后退出。</w:t>
      </w:r>
    </w:p>
    <w:p>
      <w:pPr>
        <w:spacing w:after="0" w:line="360" w:lineRule="auto"/>
        <w:ind w:firstLine="480" w:firstLineChars="200"/>
        <w:rPr>
          <w:rFonts w:ascii="Times New Roman" w:hAnsi="Times New Roman" w:eastAsia="仿宋" w:cs="Times New Roman"/>
          <w:sz w:val="24"/>
          <w:szCs w:val="28"/>
        </w:rPr>
      </w:pPr>
      <w:r>
        <w:rPr>
          <w:rFonts w:ascii="Times New Roman" w:hAnsi="Times New Roman" w:eastAsia="仿宋" w:cs="Times New Roman"/>
          <w:sz w:val="24"/>
          <w:szCs w:val="28"/>
        </w:rPr>
        <w:t>b在符合下列全部条件的情况下通过股权转让退出：</w:t>
      </w:r>
    </w:p>
    <w:p>
      <w:pPr>
        <w:numPr>
          <w:ilvl w:val="0"/>
          <w:numId w:val="2"/>
        </w:numPr>
        <w:spacing w:after="0" w:line="360" w:lineRule="auto"/>
        <w:ind w:firstLine="480" w:firstLineChars="200"/>
        <w:jc w:val="both"/>
        <w:rPr>
          <w:rFonts w:ascii="Times New Roman" w:hAnsi="Times New Roman" w:eastAsia="仿宋" w:cs="Times New Roman"/>
          <w:sz w:val="24"/>
          <w:szCs w:val="28"/>
        </w:rPr>
      </w:pPr>
      <w:r>
        <w:rPr>
          <w:rFonts w:ascii="Times New Roman" w:hAnsi="Times New Roman" w:eastAsia="仿宋" w:cs="Times New Roman"/>
          <w:sz w:val="24"/>
          <w:szCs w:val="28"/>
        </w:rPr>
        <w:t>社会资本方提出股权转让申请；</w:t>
      </w:r>
    </w:p>
    <w:p>
      <w:pPr>
        <w:numPr>
          <w:ilvl w:val="0"/>
          <w:numId w:val="2"/>
        </w:numPr>
        <w:spacing w:after="0" w:line="360" w:lineRule="auto"/>
        <w:ind w:firstLine="480" w:firstLineChars="200"/>
        <w:jc w:val="both"/>
        <w:rPr>
          <w:rFonts w:ascii="Times New Roman" w:hAnsi="Times New Roman" w:eastAsia="仿宋" w:cs="Times New Roman"/>
          <w:sz w:val="24"/>
          <w:szCs w:val="28"/>
        </w:rPr>
      </w:pPr>
      <w:r>
        <w:rPr>
          <w:rFonts w:ascii="Times New Roman" w:hAnsi="Times New Roman" w:eastAsia="仿宋" w:cs="Times New Roman"/>
          <w:sz w:val="24"/>
          <w:szCs w:val="28"/>
        </w:rPr>
        <w:t>项目运营正常；</w:t>
      </w:r>
    </w:p>
    <w:p>
      <w:pPr>
        <w:numPr>
          <w:ilvl w:val="0"/>
          <w:numId w:val="2"/>
        </w:numPr>
        <w:spacing w:after="0" w:line="360" w:lineRule="auto"/>
        <w:ind w:firstLine="480" w:firstLineChars="200"/>
        <w:jc w:val="both"/>
        <w:rPr>
          <w:rFonts w:ascii="Times New Roman" w:hAnsi="Times New Roman" w:eastAsia="仿宋" w:cs="Times New Roman"/>
          <w:sz w:val="24"/>
          <w:szCs w:val="28"/>
        </w:rPr>
      </w:pPr>
      <w:bookmarkStart w:id="9" w:name="OLE_LINK11"/>
      <w:r>
        <w:rPr>
          <w:rFonts w:ascii="Times New Roman" w:hAnsi="Times New Roman" w:eastAsia="仿宋" w:cs="Times New Roman"/>
          <w:sz w:val="24"/>
          <w:szCs w:val="28"/>
        </w:rPr>
        <w:t>受让方须具备相应的履约能力及资格且同意承继转让方本合同项下相应的权利义务等</w:t>
      </w:r>
      <w:bookmarkEnd w:id="9"/>
      <w:r>
        <w:rPr>
          <w:rFonts w:ascii="Times New Roman" w:hAnsi="Times New Roman" w:eastAsia="仿宋" w:cs="Times New Roman"/>
          <w:sz w:val="24"/>
          <w:szCs w:val="28"/>
        </w:rPr>
        <w:t>。</w:t>
      </w:r>
    </w:p>
    <w:p>
      <w:pPr>
        <w:numPr>
          <w:ilvl w:val="0"/>
          <w:numId w:val="2"/>
        </w:numPr>
        <w:spacing w:after="0" w:line="360" w:lineRule="auto"/>
        <w:ind w:firstLine="480" w:firstLineChars="200"/>
        <w:jc w:val="both"/>
        <w:rPr>
          <w:rFonts w:ascii="Times New Roman" w:hAnsi="Times New Roman" w:eastAsia="仿宋" w:cs="Times New Roman"/>
          <w:sz w:val="24"/>
          <w:szCs w:val="28"/>
        </w:rPr>
      </w:pPr>
      <w:r>
        <w:rPr>
          <w:rFonts w:ascii="Times New Roman" w:hAnsi="Times New Roman" w:eastAsia="仿宋" w:cs="Times New Roman"/>
          <w:sz w:val="24"/>
          <w:szCs w:val="28"/>
        </w:rPr>
        <w:t>受让方的履约能力及资格需得到政府方的书面认可。</w:t>
      </w:r>
    </w:p>
    <w:p>
      <w:pPr>
        <w:spacing w:after="0" w:line="360" w:lineRule="auto"/>
        <w:ind w:firstLine="480" w:firstLineChars="200"/>
        <w:rPr>
          <w:rFonts w:ascii="Times New Roman" w:hAnsi="Times New Roman" w:eastAsia="仿宋" w:cs="Times New Roman"/>
          <w:sz w:val="24"/>
          <w:szCs w:val="28"/>
        </w:rPr>
      </w:pPr>
      <w:r>
        <w:rPr>
          <w:rFonts w:hint="eastAsia" w:ascii="宋体" w:hAnsi="宋体" w:eastAsia="宋体" w:cs="宋体"/>
          <w:sz w:val="24"/>
          <w:szCs w:val="28"/>
        </w:rPr>
        <w:t>③</w:t>
      </w:r>
      <w:r>
        <w:rPr>
          <w:rFonts w:ascii="Times New Roman" w:hAnsi="Times New Roman" w:eastAsia="仿宋" w:cs="Times New Roman"/>
          <w:sz w:val="24"/>
          <w:szCs w:val="28"/>
        </w:rPr>
        <w:t>双方商定的其他方式退出。</w:t>
      </w:r>
    </w:p>
    <w:p>
      <w:pPr>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w:t>
      </w:r>
      <w:r>
        <w:rPr>
          <w:rFonts w:ascii="仿宋" w:hAnsi="仿宋" w:eastAsia="仿宋" w:cs="仿宋"/>
          <w:b/>
          <w:bCs/>
          <w:sz w:val="24"/>
          <w:szCs w:val="24"/>
        </w:rPr>
        <w:t>6</w:t>
      </w:r>
      <w:r>
        <w:rPr>
          <w:rFonts w:hint="eastAsia" w:ascii="仿宋" w:hAnsi="仿宋" w:eastAsia="仿宋" w:cs="仿宋"/>
          <w:b/>
          <w:bCs/>
          <w:sz w:val="24"/>
          <w:szCs w:val="24"/>
        </w:rPr>
        <w:t>、</w:t>
      </w:r>
      <w:bookmarkStart w:id="10" w:name="_Hlk24901345"/>
      <w:r>
        <w:rPr>
          <w:rFonts w:ascii="仿宋" w:hAnsi="仿宋" w:eastAsia="仿宋" w:cs="仿宋"/>
          <w:b/>
          <w:bCs/>
          <w:sz w:val="24"/>
          <w:szCs w:val="24"/>
        </w:rPr>
        <w:t>提前终止及补偿</w:t>
      </w:r>
      <w:bookmarkEnd w:id="10"/>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如发生以下情况，本《PPP项目合同》可提前终止：</w:t>
      </w:r>
    </w:p>
    <w:p>
      <w:pPr>
        <w:numPr>
          <w:ilvl w:val="0"/>
          <w:numId w:val="3"/>
        </w:numPr>
        <w:spacing w:after="0" w:line="360" w:lineRule="auto"/>
        <w:ind w:firstLine="200"/>
        <w:jc w:val="both"/>
        <w:rPr>
          <w:rFonts w:ascii="Times New Roman" w:hAnsi="Times New Roman" w:eastAsia="仿宋" w:cs="Times New Roman"/>
          <w:sz w:val="24"/>
          <w:szCs w:val="28"/>
        </w:rPr>
      </w:pPr>
      <w:r>
        <w:rPr>
          <w:rFonts w:ascii="Times New Roman" w:hAnsi="Times New Roman" w:eastAsia="仿宋" w:cs="Times New Roman"/>
          <w:sz w:val="24"/>
          <w:szCs w:val="28"/>
        </w:rPr>
        <w:t>项目公司发生严重违约事件时，实施机构有权发出终止协议的意向通知；</w:t>
      </w:r>
    </w:p>
    <w:p>
      <w:pPr>
        <w:numPr>
          <w:ilvl w:val="0"/>
          <w:numId w:val="3"/>
        </w:numPr>
        <w:spacing w:after="0" w:line="360" w:lineRule="auto"/>
        <w:ind w:firstLine="200"/>
        <w:jc w:val="both"/>
        <w:rPr>
          <w:rFonts w:ascii="Times New Roman" w:hAnsi="Times New Roman" w:eastAsia="仿宋" w:cs="Times New Roman"/>
          <w:sz w:val="24"/>
          <w:szCs w:val="28"/>
        </w:rPr>
      </w:pPr>
      <w:r>
        <w:rPr>
          <w:rFonts w:ascii="Times New Roman" w:hAnsi="Times New Roman" w:eastAsia="仿宋" w:cs="Times New Roman"/>
          <w:sz w:val="24"/>
          <w:szCs w:val="28"/>
        </w:rPr>
        <w:t>政府部门发生严重违约事件时，项目公司有权发出终止协议的意向通知；</w:t>
      </w:r>
    </w:p>
    <w:p>
      <w:pPr>
        <w:numPr>
          <w:ilvl w:val="0"/>
          <w:numId w:val="3"/>
        </w:numPr>
        <w:spacing w:after="0" w:line="360" w:lineRule="auto"/>
        <w:ind w:firstLine="200"/>
        <w:jc w:val="both"/>
        <w:rPr>
          <w:rFonts w:ascii="Times New Roman" w:hAnsi="Times New Roman" w:eastAsia="仿宋" w:cs="Times New Roman"/>
          <w:sz w:val="24"/>
          <w:szCs w:val="28"/>
        </w:rPr>
      </w:pPr>
      <w:r>
        <w:rPr>
          <w:rFonts w:ascii="Times New Roman" w:hAnsi="Times New Roman" w:eastAsia="仿宋" w:cs="Times New Roman"/>
          <w:sz w:val="24"/>
          <w:szCs w:val="28"/>
        </w:rPr>
        <w:t>发生不可抗力时，《PPP项目合同》签订双方无法协商一致以继续履行各自义务，双方有权向对方发出终止合同的意向通知。《PPP项目合同》提前终止，应按照《PPP项目合同》的规定接收项目设施，并按照协议约定的补偿原则和补偿标准向项目公司支付相应的终止补偿。</w:t>
      </w:r>
    </w:p>
    <w:p>
      <w:pPr>
        <w:spacing w:after="0" w:line="360" w:lineRule="auto"/>
        <w:ind w:firstLine="200"/>
        <w:jc w:val="center"/>
        <w:rPr>
          <w:rFonts w:ascii="Times New Roman" w:hAnsi="Times New Roman" w:eastAsia="仿宋" w:cs="Times New Roman"/>
          <w:b/>
          <w:kern w:val="24"/>
          <w:sz w:val="24"/>
          <w:szCs w:val="28"/>
        </w:rPr>
      </w:pPr>
      <w:r>
        <w:rPr>
          <w:rFonts w:ascii="Times New Roman" w:hAnsi="Times New Roman" w:eastAsia="仿宋" w:cs="Times New Roman"/>
          <w:b/>
          <w:kern w:val="24"/>
          <w:sz w:val="24"/>
          <w:szCs w:val="28"/>
        </w:rPr>
        <w:t>表9-2提前终止情形及终止补偿金</w:t>
      </w:r>
    </w:p>
    <w:tbl>
      <w:tblPr>
        <w:tblStyle w:val="11"/>
        <w:tblW w:w="8704" w:type="dxa"/>
        <w:tblInd w:w="0" w:type="dxa"/>
        <w:tblLayout w:type="fixed"/>
        <w:tblCellMar>
          <w:top w:w="0" w:type="dxa"/>
          <w:left w:w="108" w:type="dxa"/>
          <w:bottom w:w="0" w:type="dxa"/>
          <w:right w:w="108" w:type="dxa"/>
        </w:tblCellMar>
      </w:tblPr>
      <w:tblGrid>
        <w:gridCol w:w="1616"/>
        <w:gridCol w:w="3208"/>
        <w:gridCol w:w="3880"/>
      </w:tblGrid>
      <w:tr>
        <w:tblPrEx>
          <w:tblCellMar>
            <w:top w:w="0" w:type="dxa"/>
            <w:left w:w="108" w:type="dxa"/>
            <w:bottom w:w="0" w:type="dxa"/>
            <w:right w:w="108" w:type="dxa"/>
          </w:tblCellMar>
        </w:tblPrEx>
        <w:trPr>
          <w:trHeight w:val="20" w:hRule="atLeast"/>
        </w:trPr>
        <w:tc>
          <w:tcPr>
            <w:tcW w:w="16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序号</w:t>
            </w:r>
          </w:p>
        </w:tc>
        <w:tc>
          <w:tcPr>
            <w:tcW w:w="32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提前终止情形</w:t>
            </w: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终止补偿金</w:t>
            </w:r>
          </w:p>
        </w:tc>
      </w:tr>
      <w:tr>
        <w:tblPrEx>
          <w:tblCellMar>
            <w:top w:w="0" w:type="dxa"/>
            <w:left w:w="108" w:type="dxa"/>
            <w:bottom w:w="0" w:type="dxa"/>
            <w:right w:w="108" w:type="dxa"/>
          </w:tblCellMar>
        </w:tblPrEx>
        <w:trPr>
          <w:trHeight w:val="20"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1</w:t>
            </w:r>
          </w:p>
        </w:tc>
        <w:tc>
          <w:tcPr>
            <w:tcW w:w="32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政府方发出终止</w:t>
            </w:r>
          </w:p>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（项目公司违约）</w:t>
            </w: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建设期终止，A</w:t>
            </w:r>
            <w:r>
              <w:rPr>
                <w:rFonts w:ascii="Times New Roman" w:hAnsi="Times New Roman" w:eastAsia="仿宋" w:cs="Times New Roman"/>
                <w:sz w:val="22"/>
                <w:szCs w:val="24"/>
                <w:vertAlign w:val="subscript"/>
              </w:rPr>
              <w:t>1</w:t>
            </w:r>
            <w:r>
              <w:rPr>
                <w:rFonts w:ascii="Times New Roman" w:hAnsi="Times New Roman" w:eastAsia="仿宋" w:cs="Times New Roman"/>
                <w:sz w:val="22"/>
                <w:szCs w:val="24"/>
              </w:rPr>
              <w:t>*0.85-E-G+D（如有）</w:t>
            </w:r>
          </w:p>
        </w:tc>
      </w:tr>
      <w:tr>
        <w:tblPrEx>
          <w:tblCellMar>
            <w:top w:w="0" w:type="dxa"/>
            <w:left w:w="108" w:type="dxa"/>
            <w:bottom w:w="0" w:type="dxa"/>
            <w:right w:w="108" w:type="dxa"/>
          </w:tblCellMar>
        </w:tblPrEx>
        <w:trPr>
          <w:trHeight w:val="20"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after="0" w:line="360" w:lineRule="auto"/>
              <w:ind w:firstLine="200"/>
              <w:jc w:val="center"/>
              <w:rPr>
                <w:rFonts w:ascii="Times New Roman" w:hAnsi="Times New Roman" w:eastAsia="仿宋" w:cs="Times New Roman"/>
                <w:sz w:val="22"/>
                <w:szCs w:val="24"/>
              </w:rPr>
            </w:pPr>
          </w:p>
        </w:tc>
        <w:tc>
          <w:tcPr>
            <w:tcW w:w="320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after="0" w:line="360" w:lineRule="auto"/>
              <w:ind w:firstLine="200"/>
              <w:jc w:val="center"/>
              <w:rPr>
                <w:rFonts w:ascii="Times New Roman" w:hAnsi="Times New Roman" w:eastAsia="仿宋" w:cs="Times New Roman"/>
                <w:sz w:val="22"/>
                <w:szCs w:val="24"/>
              </w:rPr>
            </w:pP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运营期终止，A</w:t>
            </w:r>
            <w:r>
              <w:rPr>
                <w:rFonts w:ascii="Times New Roman" w:hAnsi="Times New Roman" w:eastAsia="仿宋" w:cs="Times New Roman"/>
                <w:sz w:val="22"/>
                <w:szCs w:val="24"/>
                <w:vertAlign w:val="subscript"/>
              </w:rPr>
              <w:t>2</w:t>
            </w:r>
            <w:r>
              <w:rPr>
                <w:rFonts w:ascii="Times New Roman" w:hAnsi="Times New Roman" w:eastAsia="仿宋" w:cs="Times New Roman"/>
                <w:sz w:val="22"/>
                <w:szCs w:val="24"/>
              </w:rPr>
              <w:t>*0.85+D-F-G</w:t>
            </w:r>
          </w:p>
        </w:tc>
      </w:tr>
      <w:tr>
        <w:tblPrEx>
          <w:tblCellMar>
            <w:top w:w="0" w:type="dxa"/>
            <w:left w:w="108" w:type="dxa"/>
            <w:bottom w:w="0" w:type="dxa"/>
            <w:right w:w="108" w:type="dxa"/>
          </w:tblCellMar>
        </w:tblPrEx>
        <w:trPr>
          <w:trHeight w:val="20"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2</w:t>
            </w:r>
          </w:p>
        </w:tc>
        <w:tc>
          <w:tcPr>
            <w:tcW w:w="32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项目公司发出终止</w:t>
            </w:r>
          </w:p>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（政府方违约）</w:t>
            </w: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建设期终止，A</w:t>
            </w:r>
            <w:r>
              <w:rPr>
                <w:rFonts w:ascii="Times New Roman" w:hAnsi="Times New Roman" w:eastAsia="仿宋" w:cs="Times New Roman"/>
                <w:sz w:val="22"/>
                <w:szCs w:val="24"/>
                <w:vertAlign w:val="subscript"/>
              </w:rPr>
              <w:t>1</w:t>
            </w:r>
            <w:r>
              <w:rPr>
                <w:rFonts w:ascii="Times New Roman" w:hAnsi="Times New Roman" w:eastAsia="仿宋" w:cs="Times New Roman"/>
                <w:sz w:val="22"/>
                <w:szCs w:val="24"/>
              </w:rPr>
              <w:t>*1.1+D+G（如有）</w:t>
            </w:r>
          </w:p>
        </w:tc>
      </w:tr>
      <w:tr>
        <w:tblPrEx>
          <w:tblCellMar>
            <w:top w:w="0" w:type="dxa"/>
            <w:left w:w="108" w:type="dxa"/>
            <w:bottom w:w="0" w:type="dxa"/>
            <w:right w:w="108" w:type="dxa"/>
          </w:tblCellMar>
        </w:tblPrEx>
        <w:trPr>
          <w:trHeight w:val="20"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after="0" w:line="360" w:lineRule="auto"/>
              <w:ind w:firstLine="200"/>
              <w:jc w:val="center"/>
              <w:rPr>
                <w:rFonts w:ascii="Times New Roman" w:hAnsi="Times New Roman" w:eastAsia="仿宋" w:cs="Times New Roman"/>
                <w:sz w:val="22"/>
                <w:szCs w:val="24"/>
              </w:rPr>
            </w:pPr>
          </w:p>
        </w:tc>
        <w:tc>
          <w:tcPr>
            <w:tcW w:w="320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after="0" w:line="360" w:lineRule="auto"/>
              <w:ind w:firstLine="200"/>
              <w:jc w:val="center"/>
              <w:rPr>
                <w:rFonts w:ascii="Times New Roman" w:hAnsi="Times New Roman" w:eastAsia="仿宋" w:cs="Times New Roman"/>
                <w:sz w:val="22"/>
                <w:szCs w:val="24"/>
              </w:rPr>
            </w:pP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运营期终止，A</w:t>
            </w:r>
            <w:r>
              <w:rPr>
                <w:rFonts w:ascii="Times New Roman" w:hAnsi="Times New Roman" w:eastAsia="仿宋" w:cs="Times New Roman"/>
                <w:sz w:val="22"/>
                <w:szCs w:val="24"/>
                <w:vertAlign w:val="subscript"/>
              </w:rPr>
              <w:t>3</w:t>
            </w:r>
            <w:r>
              <w:rPr>
                <w:rFonts w:ascii="Times New Roman" w:hAnsi="Times New Roman" w:eastAsia="仿宋" w:cs="Times New Roman"/>
                <w:sz w:val="22"/>
                <w:szCs w:val="24"/>
              </w:rPr>
              <w:t>*1.1+D+G</w:t>
            </w:r>
          </w:p>
        </w:tc>
      </w:tr>
      <w:tr>
        <w:tblPrEx>
          <w:tblCellMar>
            <w:top w:w="0" w:type="dxa"/>
            <w:left w:w="108" w:type="dxa"/>
            <w:bottom w:w="0" w:type="dxa"/>
            <w:right w:w="108" w:type="dxa"/>
          </w:tblCellMar>
        </w:tblPrEx>
        <w:trPr>
          <w:trHeight w:val="20"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3</w:t>
            </w:r>
          </w:p>
        </w:tc>
        <w:tc>
          <w:tcPr>
            <w:tcW w:w="32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法律变更导致的终止</w:t>
            </w: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建设期终止，A</w:t>
            </w:r>
            <w:r>
              <w:rPr>
                <w:rFonts w:ascii="Times New Roman" w:hAnsi="Times New Roman" w:eastAsia="仿宋" w:cs="Times New Roman"/>
                <w:sz w:val="22"/>
                <w:szCs w:val="24"/>
                <w:vertAlign w:val="subscript"/>
              </w:rPr>
              <w:t>1</w:t>
            </w:r>
            <w:r>
              <w:rPr>
                <w:rFonts w:ascii="Times New Roman" w:hAnsi="Times New Roman" w:eastAsia="仿宋" w:cs="Times New Roman"/>
                <w:sz w:val="22"/>
                <w:szCs w:val="24"/>
              </w:rPr>
              <w:t>+D</w:t>
            </w:r>
          </w:p>
        </w:tc>
      </w:tr>
      <w:tr>
        <w:tblPrEx>
          <w:tblCellMar>
            <w:top w:w="0" w:type="dxa"/>
            <w:left w:w="108" w:type="dxa"/>
            <w:bottom w:w="0" w:type="dxa"/>
            <w:right w:w="108" w:type="dxa"/>
          </w:tblCellMar>
        </w:tblPrEx>
        <w:trPr>
          <w:trHeight w:val="20"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after="0" w:line="360" w:lineRule="auto"/>
              <w:ind w:firstLine="200"/>
              <w:jc w:val="center"/>
              <w:rPr>
                <w:rFonts w:ascii="Times New Roman" w:hAnsi="Times New Roman" w:eastAsia="仿宋" w:cs="Times New Roman"/>
                <w:sz w:val="22"/>
                <w:szCs w:val="24"/>
              </w:rPr>
            </w:pPr>
          </w:p>
        </w:tc>
        <w:tc>
          <w:tcPr>
            <w:tcW w:w="320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after="0" w:line="360" w:lineRule="auto"/>
              <w:ind w:firstLine="200"/>
              <w:jc w:val="center"/>
              <w:rPr>
                <w:rFonts w:ascii="Times New Roman" w:hAnsi="Times New Roman" w:eastAsia="仿宋" w:cs="Times New Roman"/>
                <w:sz w:val="22"/>
                <w:szCs w:val="24"/>
              </w:rPr>
            </w:pP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运营期终止，A</w:t>
            </w:r>
            <w:r>
              <w:rPr>
                <w:rFonts w:ascii="Times New Roman" w:hAnsi="Times New Roman" w:eastAsia="仿宋" w:cs="Times New Roman"/>
                <w:sz w:val="22"/>
                <w:szCs w:val="24"/>
                <w:vertAlign w:val="subscript"/>
              </w:rPr>
              <w:t>3</w:t>
            </w:r>
            <w:r>
              <w:rPr>
                <w:rFonts w:ascii="Times New Roman" w:hAnsi="Times New Roman" w:eastAsia="仿宋" w:cs="Times New Roman"/>
                <w:sz w:val="22"/>
                <w:szCs w:val="24"/>
              </w:rPr>
              <w:t>+D</w:t>
            </w:r>
          </w:p>
        </w:tc>
      </w:tr>
      <w:tr>
        <w:tblPrEx>
          <w:tblCellMar>
            <w:top w:w="0" w:type="dxa"/>
            <w:left w:w="108" w:type="dxa"/>
            <w:bottom w:w="0" w:type="dxa"/>
            <w:right w:w="108" w:type="dxa"/>
          </w:tblCellMar>
        </w:tblPrEx>
        <w:trPr>
          <w:trHeight w:val="20" w:hRule="atLeast"/>
        </w:trPr>
        <w:tc>
          <w:tcPr>
            <w:tcW w:w="16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4</w:t>
            </w:r>
          </w:p>
        </w:tc>
        <w:tc>
          <w:tcPr>
            <w:tcW w:w="32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不可抗力</w:t>
            </w:r>
          </w:p>
        </w:tc>
        <w:tc>
          <w:tcPr>
            <w:tcW w:w="3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after="0" w:line="360" w:lineRule="auto"/>
              <w:ind w:firstLine="200"/>
              <w:jc w:val="center"/>
              <w:textAlignment w:val="center"/>
              <w:rPr>
                <w:rFonts w:ascii="Times New Roman" w:hAnsi="Times New Roman" w:eastAsia="仿宋" w:cs="Times New Roman"/>
                <w:sz w:val="22"/>
                <w:szCs w:val="24"/>
              </w:rPr>
            </w:pPr>
            <w:r>
              <w:rPr>
                <w:rFonts w:ascii="Times New Roman" w:hAnsi="Times New Roman" w:eastAsia="仿宋" w:cs="Times New Roman"/>
                <w:sz w:val="22"/>
                <w:szCs w:val="24"/>
              </w:rPr>
              <w:t>（A</w:t>
            </w:r>
            <w:r>
              <w:rPr>
                <w:rFonts w:ascii="Times New Roman" w:hAnsi="Times New Roman" w:eastAsia="仿宋" w:cs="Times New Roman"/>
                <w:sz w:val="22"/>
                <w:szCs w:val="24"/>
                <w:vertAlign w:val="subscript"/>
              </w:rPr>
              <w:t>4</w:t>
            </w:r>
            <w:r>
              <w:rPr>
                <w:rFonts w:ascii="Times New Roman" w:hAnsi="Times New Roman" w:eastAsia="仿宋" w:cs="Times New Roman"/>
                <w:sz w:val="22"/>
                <w:szCs w:val="24"/>
              </w:rPr>
              <w:t>-B-C）/2</w:t>
            </w:r>
          </w:p>
        </w:tc>
      </w:tr>
    </w:tbl>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提前终止补偿不影响守约方向违约方追究相应违约赔偿责任。</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A</w:t>
      </w:r>
      <w:r>
        <w:rPr>
          <w:rFonts w:ascii="Times New Roman" w:hAnsi="Times New Roman" w:eastAsia="仿宋" w:cs="Times New Roman"/>
          <w:sz w:val="24"/>
          <w:szCs w:val="28"/>
          <w:vertAlign w:val="subscript"/>
        </w:rPr>
        <w:t>1</w:t>
      </w:r>
      <w:r>
        <w:rPr>
          <w:rFonts w:ascii="Times New Roman" w:hAnsi="Times New Roman" w:eastAsia="仿宋" w:cs="Times New Roman"/>
          <w:sz w:val="24"/>
          <w:szCs w:val="28"/>
        </w:rPr>
        <w:t>为建设期内社会资本方经审计的实际投资额（以双方共同委托的审计机构的审计金额为准）；</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A</w:t>
      </w:r>
      <w:r>
        <w:rPr>
          <w:rFonts w:ascii="Times New Roman" w:hAnsi="Times New Roman" w:eastAsia="仿宋" w:cs="Times New Roman"/>
          <w:sz w:val="24"/>
          <w:szCs w:val="28"/>
          <w:vertAlign w:val="subscript"/>
        </w:rPr>
        <w:t>2</w:t>
      </w:r>
      <w:r>
        <w:rPr>
          <w:rFonts w:ascii="Times New Roman" w:hAnsi="Times New Roman" w:eastAsia="仿宋" w:cs="Times New Roman"/>
          <w:sz w:val="24"/>
          <w:szCs w:val="28"/>
        </w:rPr>
        <w:t>为审计价*项目公司尚未收回的可用性服务费比例+经双方认定的实际发生的应付未付的运营维护绩效服务费；（自运营期第一年起至项目终止当年）</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A</w:t>
      </w:r>
      <w:r>
        <w:rPr>
          <w:rFonts w:ascii="Times New Roman" w:hAnsi="Times New Roman" w:eastAsia="仿宋" w:cs="Times New Roman"/>
          <w:sz w:val="24"/>
          <w:szCs w:val="28"/>
          <w:vertAlign w:val="subscript"/>
        </w:rPr>
        <w:t>3</w:t>
      </w:r>
      <w:r>
        <w:rPr>
          <w:rFonts w:ascii="Times New Roman" w:hAnsi="Times New Roman" w:eastAsia="仿宋" w:cs="Times New Roman"/>
          <w:sz w:val="24"/>
          <w:szCs w:val="28"/>
        </w:rPr>
        <w:t>以项目公司尚未收回的可用性服务费的现值+经双方认定的实际发生的应付未付的运营维护绩效服务费；（自运营期第一年起至项目终止当年）</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A</w:t>
      </w:r>
      <w:r>
        <w:rPr>
          <w:rFonts w:ascii="Times New Roman" w:hAnsi="Times New Roman" w:eastAsia="仿宋" w:cs="Times New Roman"/>
          <w:sz w:val="24"/>
          <w:szCs w:val="28"/>
          <w:vertAlign w:val="subscript"/>
        </w:rPr>
        <w:t>4</w:t>
      </w:r>
      <w:r>
        <w:rPr>
          <w:rFonts w:ascii="Times New Roman" w:hAnsi="Times New Roman" w:eastAsia="仿宋" w:cs="Times New Roman"/>
          <w:sz w:val="24"/>
          <w:szCs w:val="28"/>
        </w:rPr>
        <w:t>为经审计的项目公司账面资产净值；</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B为发生不可抗力情形时，根据项目协议及相关保险合同，项目公司实际获得的保险赔款；</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C为发生不可抗力情形时，因项目公司投保不足，导致所获保险赔款无法使项目设施恢复到出险前的正常状态和价值的恢复性建设费用缺额部分（如有）；</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D为项目终止后根据项目协议规定，项目公司向政府方移交运营维护所需的零部件、备品备件等的合理估值</w:t>
      </w:r>
      <w:r>
        <w:rPr>
          <w:rFonts w:hint="eastAsia" w:ascii="Times New Roman" w:hAnsi="Times New Roman" w:eastAsia="仿宋" w:cs="Times New Roman"/>
          <w:sz w:val="24"/>
          <w:szCs w:val="28"/>
        </w:rPr>
        <w:t>；</w:t>
      </w:r>
    </w:p>
    <w:p>
      <w:pPr>
        <w:pStyle w:val="2"/>
        <w:spacing w:after="0"/>
        <w:ind w:firstLine="480" w:firstLineChars="200"/>
        <w:rPr>
          <w:rFonts w:ascii="Times New Roman" w:hAnsi="Times New Roman" w:eastAsia="仿宋"/>
          <w:sz w:val="24"/>
          <w:szCs w:val="28"/>
          <w:lang w:eastAsia="zh-CN"/>
        </w:rPr>
      </w:pPr>
      <w:r>
        <w:rPr>
          <w:rFonts w:ascii="Times New Roman" w:hAnsi="Times New Roman" w:eastAsia="仿宋"/>
          <w:sz w:val="24"/>
          <w:szCs w:val="28"/>
          <w:lang w:eastAsia="zh-CN"/>
        </w:rPr>
        <w:t>E为项目公司提交的建设期履约保函</w:t>
      </w:r>
      <w:r>
        <w:rPr>
          <w:rFonts w:hint="eastAsia" w:ascii="Times New Roman" w:hAnsi="Times New Roman" w:eastAsia="仿宋"/>
          <w:sz w:val="24"/>
          <w:szCs w:val="28"/>
          <w:lang w:eastAsia="zh-CN"/>
        </w:rPr>
        <w:t>；</w:t>
      </w:r>
    </w:p>
    <w:p>
      <w:pPr>
        <w:pStyle w:val="4"/>
        <w:spacing w:after="0"/>
        <w:ind w:left="0" w:leftChars="0" w:firstLine="480"/>
        <w:rPr>
          <w:rFonts w:ascii="Times New Roman" w:hAnsi="Times New Roman" w:cs="Times New Roman"/>
          <w:sz w:val="24"/>
          <w:szCs w:val="28"/>
        </w:rPr>
      </w:pPr>
      <w:r>
        <w:rPr>
          <w:rFonts w:ascii="Times New Roman" w:hAnsi="Times New Roman" w:cs="Times New Roman"/>
          <w:sz w:val="24"/>
          <w:szCs w:val="28"/>
        </w:rPr>
        <w:t>F为项目公司提交的运营期保函</w:t>
      </w:r>
      <w:r>
        <w:rPr>
          <w:rFonts w:hint="eastAsia" w:ascii="Times New Roman" w:hAnsi="Times New Roman" w:cs="Times New Roman"/>
          <w:sz w:val="24"/>
          <w:szCs w:val="28"/>
        </w:rPr>
        <w:t>；</w:t>
      </w:r>
    </w:p>
    <w:p>
      <w:pPr>
        <w:pStyle w:val="4"/>
        <w:spacing w:after="0"/>
        <w:ind w:left="0" w:leftChars="0" w:firstLine="480"/>
        <w:rPr>
          <w:rFonts w:ascii="Times New Roman" w:hAnsi="Times New Roman" w:cs="Times New Roman"/>
          <w:sz w:val="24"/>
          <w:szCs w:val="28"/>
        </w:rPr>
      </w:pPr>
      <w:r>
        <w:rPr>
          <w:rFonts w:ascii="Times New Roman" w:hAnsi="Times New Roman" w:cs="Times New Roman"/>
          <w:sz w:val="24"/>
          <w:szCs w:val="28"/>
        </w:rPr>
        <w:t>G</w:t>
      </w:r>
      <w:r>
        <w:rPr>
          <w:rFonts w:hint="eastAsia" w:ascii="Times New Roman" w:hAnsi="Times New Roman" w:cs="Times New Roman"/>
          <w:sz w:val="24"/>
          <w:szCs w:val="28"/>
        </w:rPr>
        <w:t>违约金的比例约定为投资额的</w:t>
      </w:r>
      <w:r>
        <w:rPr>
          <w:rFonts w:hint="default" w:ascii="Times New Roman" w:hAnsi="Times New Roman" w:cs="Times New Roman"/>
          <w:sz w:val="24"/>
          <w:szCs w:val="28"/>
        </w:rPr>
        <w:t>2</w:t>
      </w:r>
      <w:r>
        <w:rPr>
          <w:rFonts w:hint="eastAsia" w:ascii="Times New Roman" w:hAnsi="Times New Roman" w:cs="Times New Roman"/>
          <w:sz w:val="24"/>
          <w:szCs w:val="28"/>
        </w:rPr>
        <w:t>0%。</w:t>
      </w:r>
    </w:p>
    <w:p>
      <w:pPr>
        <w:spacing w:after="0" w:line="360" w:lineRule="auto"/>
        <w:ind w:firstLine="200"/>
        <w:rPr>
          <w:rFonts w:ascii="Times New Roman" w:hAnsi="Times New Roman" w:eastAsia="仿宋" w:cs="Times New Roman"/>
          <w:sz w:val="24"/>
          <w:szCs w:val="28"/>
        </w:rPr>
      </w:pPr>
      <w:r>
        <w:rPr>
          <w:rFonts w:ascii="Times New Roman" w:hAnsi="Times New Roman" w:eastAsia="仿宋" w:cs="Times New Roman"/>
          <w:sz w:val="24"/>
          <w:szCs w:val="28"/>
        </w:rPr>
        <w:t>因项目公司自身原因造成的项目进度延迟、发生重大安全事故或严重工程质量问题等严重影响公众利益的情况下，政府方有权终止本项目，指定机构接管本项目，并按合同约定追究项目公司的违约责任，政府方对项目公司在终止前发生的合理费用进行结算，项目公司造成的损失由项目公司负责赔偿。</w:t>
      </w:r>
    </w:p>
    <w:p>
      <w:pPr>
        <w:widowControl/>
        <w:spacing w:after="0" w:line="360" w:lineRule="auto"/>
        <w:ind w:firstLine="640" w:firstLineChars="200"/>
        <w:rPr>
          <w:rFonts w:eastAsia="仿宋"/>
          <w:kern w:val="2"/>
          <w:sz w:val="24"/>
          <w:lang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 w:hAnsi="仿宋" w:eastAsia="仿宋" w:cs="仿宋"/>
          <w:sz w:val="32"/>
          <w:szCs w:val="32"/>
        </w:rPr>
        <w:br w:type="page"/>
      </w:r>
    </w:p>
    <w:p>
      <w:pPr>
        <w:spacing w:line="240" w:lineRule="auto"/>
        <w:rPr>
          <w:rFonts w:ascii="仿宋" w:hAnsi="仿宋" w:eastAsia="仿宋" w:cs="仿宋"/>
          <w:sz w:val="32"/>
          <w:szCs w:val="32"/>
        </w:rPr>
      </w:pPr>
      <w:r>
        <w:rPr>
          <w:rFonts w:hint="eastAsia" w:ascii="仿宋" w:hAnsi="仿宋" w:eastAsia="仿宋" w:cs="仿宋"/>
          <w:sz w:val="32"/>
          <w:szCs w:val="32"/>
        </w:rPr>
        <w:t>附件2：</w:t>
      </w:r>
    </w:p>
    <w:p>
      <w:pPr>
        <w:spacing w:line="240" w:lineRule="auto"/>
        <w:jc w:val="center"/>
        <w:rPr>
          <w:rFonts w:ascii="仿宋" w:hAnsi="仿宋" w:eastAsia="仿宋" w:cs="仿宋"/>
          <w:b/>
          <w:bCs/>
          <w:sz w:val="44"/>
          <w:szCs w:val="44"/>
        </w:rPr>
      </w:pPr>
      <w:r>
        <w:rPr>
          <w:rFonts w:hint="eastAsia" w:ascii="仿宋" w:hAnsi="仿宋" w:eastAsia="仿宋" w:cs="仿宋"/>
          <w:b/>
          <w:bCs/>
          <w:sz w:val="44"/>
          <w:szCs w:val="44"/>
        </w:rPr>
        <w:t>潜在社会资本方市场测试反馈的基本信息</w:t>
      </w:r>
    </w:p>
    <w:tbl>
      <w:tblPr>
        <w:tblStyle w:val="12"/>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63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gridSpan w:val="2"/>
          </w:tcPr>
          <w:p>
            <w:pPr>
              <w:spacing w:line="240" w:lineRule="auto"/>
              <w:jc w:val="center"/>
              <w:rPr>
                <w:rFonts w:ascii="仿宋" w:hAnsi="仿宋" w:eastAsia="仿宋" w:cs="仿宋"/>
                <w:b/>
                <w:sz w:val="24"/>
                <w:szCs w:val="32"/>
              </w:rPr>
            </w:pPr>
            <w:r>
              <w:rPr>
                <w:rFonts w:ascii="仿宋" w:hAnsi="仿宋" w:eastAsia="仿宋" w:cs="仿宋"/>
                <w:b/>
                <w:sz w:val="24"/>
                <w:szCs w:val="32"/>
              </w:rPr>
              <w:t>潜在社会资本方基本信息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公司名称</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注册资本</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主营业务</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企业类型</w:t>
            </w:r>
          </w:p>
        </w:tc>
        <w:tc>
          <w:tcPr>
            <w:tcW w:w="6379" w:type="dxa"/>
          </w:tcPr>
          <w:p>
            <w:pPr>
              <w:spacing w:line="240" w:lineRule="auto"/>
              <w:rPr>
                <w:rFonts w:ascii="仿宋" w:hAnsi="仿宋" w:eastAsia="仿宋" w:cs="仿宋"/>
                <w:sz w:val="24"/>
                <w:szCs w:val="32"/>
              </w:rPr>
            </w:pPr>
            <w:r>
              <w:rPr>
                <w:rFonts w:hint="eastAsia" w:ascii="仿宋" w:hAnsi="仿宋" w:eastAsia="仿宋" w:cs="仿宋"/>
                <w:sz w:val="24"/>
                <w:szCs w:val="32"/>
              </w:rPr>
              <w:t>□国有企业□外资（含港澳台）□民营或股份制（请打“√”）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企业资质</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资信等级</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总资产（万元）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ascii="仿宋" w:hAnsi="仿宋" w:eastAsia="仿宋" w:cs="仿宋"/>
                <w:sz w:val="24"/>
                <w:szCs w:val="32"/>
              </w:rPr>
              <w:t>2017</w:t>
            </w:r>
            <w:r>
              <w:rPr>
                <w:rFonts w:hint="eastAsia" w:ascii="仿宋" w:hAnsi="仿宋" w:eastAsia="仿宋" w:cs="仿宋"/>
                <w:sz w:val="24"/>
                <w:szCs w:val="32"/>
              </w:rPr>
              <w:t>年营业额（万元）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8</w:t>
            </w:r>
            <w:r>
              <w:rPr>
                <w:rFonts w:hint="eastAsia" w:ascii="仿宋" w:hAnsi="仿宋" w:eastAsia="仿宋" w:cs="仿宋"/>
                <w:sz w:val="24"/>
                <w:szCs w:val="32"/>
              </w:rPr>
              <w:t>年营业额（万元）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9</w:t>
            </w:r>
            <w:r>
              <w:rPr>
                <w:rFonts w:hint="eastAsia" w:ascii="仿宋" w:hAnsi="仿宋" w:eastAsia="仿宋" w:cs="仿宋"/>
                <w:sz w:val="24"/>
                <w:szCs w:val="32"/>
              </w:rPr>
              <w:t>年营业额（万元）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7</w:t>
            </w:r>
            <w:r>
              <w:rPr>
                <w:rFonts w:hint="eastAsia" w:ascii="仿宋" w:hAnsi="仿宋" w:eastAsia="仿宋" w:cs="仿宋"/>
                <w:sz w:val="24"/>
                <w:szCs w:val="32"/>
              </w:rPr>
              <w:t>年净资产（万元）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8</w:t>
            </w:r>
            <w:r>
              <w:rPr>
                <w:rFonts w:hint="eastAsia" w:ascii="仿宋" w:hAnsi="仿宋" w:eastAsia="仿宋" w:cs="仿宋"/>
                <w:sz w:val="24"/>
                <w:szCs w:val="32"/>
              </w:rPr>
              <w:t>年净资产（万元）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9</w:t>
            </w:r>
            <w:r>
              <w:rPr>
                <w:rFonts w:hint="eastAsia" w:ascii="仿宋" w:hAnsi="仿宋" w:eastAsia="仿宋" w:cs="仿宋"/>
                <w:sz w:val="24"/>
                <w:szCs w:val="32"/>
              </w:rPr>
              <w:t>年净资产（万元）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7</w:t>
            </w:r>
            <w:r>
              <w:rPr>
                <w:rFonts w:hint="eastAsia" w:ascii="仿宋" w:hAnsi="仿宋" w:eastAsia="仿宋" w:cs="仿宋"/>
                <w:sz w:val="24"/>
                <w:szCs w:val="32"/>
              </w:rPr>
              <w:t>年资产负债率</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8</w:t>
            </w:r>
            <w:r>
              <w:rPr>
                <w:rFonts w:hint="eastAsia" w:ascii="仿宋" w:hAnsi="仿宋" w:eastAsia="仿宋" w:cs="仿宋"/>
                <w:sz w:val="24"/>
                <w:szCs w:val="32"/>
              </w:rPr>
              <w:t>年资产负债率</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201</w:t>
            </w:r>
            <w:r>
              <w:rPr>
                <w:rFonts w:hint="default" w:ascii="仿宋" w:hAnsi="仿宋" w:eastAsia="仿宋" w:cs="仿宋"/>
                <w:sz w:val="24"/>
                <w:szCs w:val="32"/>
              </w:rPr>
              <w:t>9</w:t>
            </w:r>
            <w:r>
              <w:rPr>
                <w:rFonts w:hint="eastAsia" w:ascii="仿宋" w:hAnsi="仿宋" w:eastAsia="仿宋" w:cs="仿宋"/>
                <w:sz w:val="24"/>
                <w:szCs w:val="32"/>
              </w:rPr>
              <w:t>年资产负债率</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银行可出具的保函金额</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银行的授信额度</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承诺最大融资金额（万元）</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融资成本</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融资渠道</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过去五年</w:t>
            </w:r>
            <w:r>
              <w:rPr>
                <w:rFonts w:hint="default" w:ascii="仿宋" w:hAnsi="仿宋" w:eastAsia="仿宋" w:cs="仿宋"/>
                <w:sz w:val="24"/>
                <w:szCs w:val="32"/>
              </w:rPr>
              <w:t>文化类</w:t>
            </w:r>
            <w:r>
              <w:rPr>
                <w:rFonts w:hint="eastAsia" w:ascii="仿宋" w:hAnsi="仿宋" w:eastAsia="仿宋" w:cs="仿宋"/>
                <w:sz w:val="24"/>
                <w:szCs w:val="32"/>
              </w:rPr>
              <w:t>PPP业务数额、总额（附清单）</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gridSpan w:val="2"/>
          </w:tcPr>
          <w:p>
            <w:pPr>
              <w:spacing w:line="240" w:lineRule="auto"/>
              <w:jc w:val="center"/>
              <w:rPr>
                <w:rFonts w:ascii="仿宋" w:hAnsi="仿宋" w:eastAsia="仿宋" w:cs="仿宋"/>
                <w:b/>
                <w:sz w:val="24"/>
                <w:szCs w:val="32"/>
              </w:rPr>
            </w:pPr>
            <w:r>
              <w:rPr>
                <w:rFonts w:ascii="仿宋" w:hAnsi="仿宋" w:eastAsia="仿宋" w:cs="仿宋"/>
                <w:b/>
                <w:sz w:val="24"/>
                <w:szCs w:val="32"/>
              </w:rPr>
              <w:t>潜在社会资本方建议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ascii="仿宋" w:hAnsi="仿宋" w:eastAsia="仿宋" w:cs="仿宋"/>
                <w:sz w:val="24"/>
                <w:szCs w:val="32"/>
              </w:rPr>
              <w:t>折现率</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ascii="仿宋" w:hAnsi="仿宋" w:eastAsia="仿宋" w:cs="仿宋"/>
                <w:sz w:val="24"/>
                <w:szCs w:val="32"/>
              </w:rPr>
              <w:t>合理利润率</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sz w:val="24"/>
                <w:szCs w:val="32"/>
              </w:rPr>
              <w:t>融资利率</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hint="eastAsia" w:ascii="仿宋" w:hAnsi="仿宋" w:eastAsia="仿宋" w:cs="仿宋"/>
                <w:bCs/>
                <w:sz w:val="24"/>
                <w:szCs w:val="32"/>
              </w:rPr>
              <w:t>是否采用联合体方式</w:t>
            </w:r>
          </w:p>
        </w:tc>
        <w:tc>
          <w:tcPr>
            <w:tcW w:w="6379" w:type="dxa"/>
          </w:tcPr>
          <w:p>
            <w:pPr>
              <w:spacing w:line="240" w:lineRule="auto"/>
              <w:rPr>
                <w:rFonts w:ascii="仿宋" w:hAnsi="仿宋" w:eastAsia="仿宋" w:cs="仿宋"/>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spacing w:line="240" w:lineRule="auto"/>
              <w:rPr>
                <w:rFonts w:ascii="仿宋" w:hAnsi="仿宋" w:eastAsia="仿宋" w:cs="仿宋"/>
                <w:sz w:val="24"/>
                <w:szCs w:val="32"/>
              </w:rPr>
            </w:pPr>
            <w:r>
              <w:rPr>
                <w:rFonts w:ascii="仿宋" w:hAnsi="仿宋" w:eastAsia="仿宋" w:cs="仿宋"/>
                <w:sz w:val="24"/>
                <w:szCs w:val="32"/>
              </w:rPr>
              <w:t>其他建议或者意见</w:t>
            </w:r>
          </w:p>
        </w:tc>
        <w:tc>
          <w:tcPr>
            <w:tcW w:w="6379" w:type="dxa"/>
          </w:tcPr>
          <w:p>
            <w:pPr>
              <w:spacing w:line="240" w:lineRule="auto"/>
              <w:rPr>
                <w:rFonts w:ascii="仿宋" w:hAnsi="仿宋" w:eastAsia="仿宋" w:cs="仿宋"/>
                <w:sz w:val="24"/>
                <w:szCs w:val="32"/>
              </w:rPr>
            </w:pPr>
          </w:p>
        </w:tc>
      </w:tr>
    </w:tbl>
    <w:p>
      <w:pPr>
        <w:spacing w:line="240" w:lineRule="auto"/>
        <w:rPr>
          <w:rFonts w:ascii="仿宋" w:hAnsi="仿宋" w:eastAsia="仿宋" w:cs="仿宋"/>
          <w:sz w:val="24"/>
          <w:szCs w:val="32"/>
        </w:rPr>
      </w:pPr>
      <w:r>
        <w:rPr>
          <w:rFonts w:hint="eastAsia" w:ascii="仿宋" w:hAnsi="仿宋" w:eastAsia="仿宋" w:cs="仿宋"/>
          <w:sz w:val="24"/>
          <w:szCs w:val="32"/>
        </w:rPr>
        <w:t>备注：</w:t>
      </w:r>
    </w:p>
    <w:p>
      <w:pPr>
        <w:spacing w:line="240" w:lineRule="auto"/>
        <w:ind w:firstLine="480"/>
        <w:rPr>
          <w:rFonts w:ascii="仿宋" w:hAnsi="仿宋" w:eastAsia="仿宋" w:cs="仿宋"/>
          <w:sz w:val="24"/>
          <w:szCs w:val="32"/>
        </w:rPr>
      </w:pPr>
      <w:r>
        <w:rPr>
          <w:rFonts w:hint="eastAsia" w:ascii="仿宋" w:hAnsi="仿宋" w:eastAsia="仿宋" w:cs="仿宋"/>
          <w:sz w:val="24"/>
          <w:szCs w:val="32"/>
        </w:rPr>
        <w:t>1、企业资质：包括但不限于设计、施工、设备、运维等资质。</w:t>
      </w:r>
    </w:p>
    <w:p>
      <w:pPr>
        <w:spacing w:line="240" w:lineRule="auto"/>
        <w:ind w:firstLine="472" w:firstLineChars="196"/>
        <w:rPr>
          <w:rFonts w:ascii="仿宋" w:hAnsi="仿宋" w:eastAsia="仿宋" w:cs="仿宋"/>
          <w:b/>
          <w:sz w:val="24"/>
          <w:szCs w:val="32"/>
        </w:rPr>
      </w:pPr>
      <w:bookmarkStart w:id="11" w:name="_Toc455238725"/>
      <w:r>
        <w:rPr>
          <w:rFonts w:hint="eastAsia" w:ascii="仿宋" w:hAnsi="仿宋" w:eastAsia="仿宋" w:cs="仿宋"/>
          <w:b/>
          <w:sz w:val="24"/>
          <w:szCs w:val="32"/>
        </w:rPr>
        <w:t>2、潜在社会资本方应保证提交资料的真实性。</w:t>
      </w:r>
    </w:p>
    <w:p>
      <w:pPr>
        <w:pStyle w:val="2"/>
        <w:ind w:firstLine="280"/>
        <w:rPr>
          <w:lang w:eastAsia="zh-CN"/>
        </w:rPr>
      </w:pPr>
    </w:p>
    <w:p>
      <w:pPr>
        <w:spacing w:line="240" w:lineRule="auto"/>
        <w:jc w:val="center"/>
        <w:rPr>
          <w:rFonts w:ascii="仿宋" w:hAnsi="仿宋" w:eastAsia="仿宋" w:cs="仿宋"/>
          <w:b/>
          <w:bCs/>
          <w:sz w:val="24"/>
          <w:szCs w:val="24"/>
        </w:rPr>
      </w:pPr>
      <w:r>
        <w:rPr>
          <w:rFonts w:hint="eastAsia" w:ascii="仿宋" w:hAnsi="仿宋" w:eastAsia="仿宋" w:cs="仿宋"/>
          <w:b/>
          <w:bCs/>
          <w:sz w:val="24"/>
          <w:szCs w:val="24"/>
        </w:rPr>
        <w:t>（没有意见，请标注“无意见”）</w:t>
      </w:r>
      <w:bookmarkEnd w:id="11"/>
    </w:p>
    <w:p>
      <w:pPr>
        <w:pStyle w:val="2"/>
        <w:ind w:firstLine="280"/>
      </w:pPr>
      <w:r>
        <w:br w:type="page"/>
      </w:r>
    </w:p>
    <w:p>
      <w:pPr>
        <w:spacing w:line="240" w:lineRule="auto"/>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w:t>
      </w:r>
    </w:p>
    <w:p>
      <w:pPr>
        <w:rPr>
          <w:rFonts w:ascii="仿宋" w:hAnsi="仿宋" w:eastAsia="仿宋" w:cs="仿宋"/>
          <w:b/>
          <w:bCs/>
          <w:sz w:val="40"/>
          <w:szCs w:val="40"/>
        </w:rPr>
      </w:pPr>
      <w:r>
        <w:rPr>
          <w:rFonts w:hint="eastAsia" w:ascii="仿宋" w:hAnsi="仿宋" w:eastAsia="仿宋" w:cs="仿宋"/>
          <w:b/>
          <w:bCs/>
          <w:sz w:val="40"/>
          <w:szCs w:val="40"/>
        </w:rPr>
        <w:t>本项目调入财政部</w:t>
      </w:r>
      <w:r>
        <w:rPr>
          <w:rFonts w:ascii="仿宋" w:hAnsi="仿宋" w:eastAsia="仿宋" w:cs="仿宋"/>
          <w:b/>
          <w:bCs/>
          <w:sz w:val="40"/>
          <w:szCs w:val="40"/>
        </w:rPr>
        <w:t>PPP项目管理库的公告截图</w:t>
      </w:r>
    </w:p>
    <w:p>
      <w:pPr>
        <w:spacing w:line="240" w:lineRule="auto"/>
        <w:jc w:val="center"/>
        <w:rPr>
          <w:rFonts w:ascii="仿宋" w:hAnsi="仿宋" w:eastAsia="仿宋" w:cs="仿宋"/>
          <w:b/>
          <w:bCs/>
          <w:sz w:val="24"/>
          <w:szCs w:val="24"/>
        </w:rPr>
      </w:pPr>
      <w:r>
        <w:drawing>
          <wp:inline distT="0" distB="0" distL="114300" distR="114300">
            <wp:extent cx="5320665" cy="4551680"/>
            <wp:effectExtent l="0" t="0" r="13335" b="203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320665" cy="4551680"/>
                    </a:xfrm>
                    <a:prstGeom prst="rect">
                      <a:avLst/>
                    </a:prstGeom>
                    <a:noFill/>
                    <a:ln w="9525">
                      <a:noFill/>
                    </a:ln>
                  </pic:spPr>
                </pic:pic>
              </a:graphicData>
            </a:graphic>
          </wp:inline>
        </w:drawing>
      </w:r>
      <w:r>
        <w:drawing>
          <wp:inline distT="0" distB="0" distL="114300" distR="114300">
            <wp:extent cx="5271770" cy="1723390"/>
            <wp:effectExtent l="0" t="0" r="11430" b="38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271770" cy="172339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95913709"/>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2"/>
                            <w:ind w:firstLine="2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MVC4WAgAAFQQAAA4AAABkcnMvZTJvRG9jLnhtbK1TzY7TMBC+I/EO&#10;lu80aVcs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3lGim0KLT92+nH79OP7+Sq0hPa/0MURuLuNC9NR3aPNx7XMaq&#10;u8qpuKMeAj+IPl7IFV0gPD6aTqbTHC4O33AAfvb43Dof3gmjSDQK6tC9RCo7rH3oQ4eQ+Js2q0bK&#10;1EGpSVvQ66vX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JTFQuFgIAABUEAAAOAAAAAAAA&#10;AAEAIAAAAB8BAABkcnMvZTJvRG9jLnhtbFBLBQYAAAAABgAGAFkBAACnBQAAAAA=&#10;">
              <v:fill on="f" focussize="0,0"/>
              <v:stroke on="f" weight="0.5pt"/>
              <v:imagedata o:title=""/>
              <o:lock v:ext="edit" aspectratio="f"/>
              <v:textbox inset="0mm,0mm,0mm,0mm" style="mso-fit-shape-to-text:t;">
                <w:txbxContent>
                  <w:sdt>
                    <w:sdtPr>
                      <w:id w:val="95913709"/>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2"/>
                      <w:ind w:firstLine="280"/>
                    </w:pP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0F16C9"/>
    <w:multiLevelType w:val="singleLevel"/>
    <w:tmpl w:val="590F16C9"/>
    <w:lvl w:ilvl="0" w:tentative="0">
      <w:start w:val="1"/>
      <w:numFmt w:val="decimal"/>
      <w:suff w:val="nothing"/>
      <w:lvlText w:val="（%1）"/>
      <w:lvlJc w:val="left"/>
    </w:lvl>
  </w:abstractNum>
  <w:abstractNum w:abstractNumId="2">
    <w:nsid w:val="5936397D"/>
    <w:multiLevelType w:val="multilevel"/>
    <w:tmpl w:val="5936397D"/>
    <w:lvl w:ilvl="0" w:tentative="0">
      <w:start w:val="1"/>
      <w:numFmt w:val="bullet"/>
      <w:lvlText w:val=""/>
      <w:lvlJc w:val="left"/>
      <w:pPr>
        <w:ind w:left="0" w:firstLine="420"/>
      </w:pPr>
      <w:rPr>
        <w:rFonts w:hint="default" w:ascii="Wingdings" w:hAnsi="Wingdings"/>
        <w:sz w:val="18"/>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77"/>
    <w:rsid w:val="0001691E"/>
    <w:rsid w:val="00034AB1"/>
    <w:rsid w:val="00066405"/>
    <w:rsid w:val="0007343F"/>
    <w:rsid w:val="000C5581"/>
    <w:rsid w:val="000D4191"/>
    <w:rsid w:val="001175AE"/>
    <w:rsid w:val="00131C86"/>
    <w:rsid w:val="00134C1B"/>
    <w:rsid w:val="00145A50"/>
    <w:rsid w:val="0020023C"/>
    <w:rsid w:val="00200E14"/>
    <w:rsid w:val="002136E3"/>
    <w:rsid w:val="00213AA8"/>
    <w:rsid w:val="00214561"/>
    <w:rsid w:val="00237307"/>
    <w:rsid w:val="00253914"/>
    <w:rsid w:val="00274303"/>
    <w:rsid w:val="002905AA"/>
    <w:rsid w:val="002B0B9B"/>
    <w:rsid w:val="002B7FF9"/>
    <w:rsid w:val="002D3316"/>
    <w:rsid w:val="002D4582"/>
    <w:rsid w:val="002F1CA9"/>
    <w:rsid w:val="003076BA"/>
    <w:rsid w:val="00311D25"/>
    <w:rsid w:val="0031205D"/>
    <w:rsid w:val="00330CA6"/>
    <w:rsid w:val="00331B52"/>
    <w:rsid w:val="00332B45"/>
    <w:rsid w:val="00335F34"/>
    <w:rsid w:val="0038052B"/>
    <w:rsid w:val="003B3E35"/>
    <w:rsid w:val="003C6B38"/>
    <w:rsid w:val="003D36CA"/>
    <w:rsid w:val="003F5EB7"/>
    <w:rsid w:val="004072E7"/>
    <w:rsid w:val="004116AC"/>
    <w:rsid w:val="0041394F"/>
    <w:rsid w:val="00451CBF"/>
    <w:rsid w:val="00462F86"/>
    <w:rsid w:val="00487C09"/>
    <w:rsid w:val="004E2916"/>
    <w:rsid w:val="005043BF"/>
    <w:rsid w:val="00526F22"/>
    <w:rsid w:val="00551D22"/>
    <w:rsid w:val="0057020D"/>
    <w:rsid w:val="005B3A2F"/>
    <w:rsid w:val="005B578D"/>
    <w:rsid w:val="005C667E"/>
    <w:rsid w:val="005C7443"/>
    <w:rsid w:val="005E4FD1"/>
    <w:rsid w:val="005E75BE"/>
    <w:rsid w:val="00615874"/>
    <w:rsid w:val="00616345"/>
    <w:rsid w:val="00621065"/>
    <w:rsid w:val="00647E80"/>
    <w:rsid w:val="00687EB4"/>
    <w:rsid w:val="007066BD"/>
    <w:rsid w:val="00711C61"/>
    <w:rsid w:val="007415BC"/>
    <w:rsid w:val="007612EA"/>
    <w:rsid w:val="00774B8F"/>
    <w:rsid w:val="0078236A"/>
    <w:rsid w:val="007D142D"/>
    <w:rsid w:val="007E188F"/>
    <w:rsid w:val="008032D0"/>
    <w:rsid w:val="008052E3"/>
    <w:rsid w:val="00851774"/>
    <w:rsid w:val="00862A90"/>
    <w:rsid w:val="00865339"/>
    <w:rsid w:val="00865E90"/>
    <w:rsid w:val="008C08AA"/>
    <w:rsid w:val="008D5CD9"/>
    <w:rsid w:val="008F38B6"/>
    <w:rsid w:val="008F67E5"/>
    <w:rsid w:val="00920A35"/>
    <w:rsid w:val="00930AD9"/>
    <w:rsid w:val="009539EC"/>
    <w:rsid w:val="00957ADC"/>
    <w:rsid w:val="009A3A33"/>
    <w:rsid w:val="009B58B6"/>
    <w:rsid w:val="009C1C20"/>
    <w:rsid w:val="009F36F7"/>
    <w:rsid w:val="00A127A7"/>
    <w:rsid w:val="00A5688C"/>
    <w:rsid w:val="00A62C63"/>
    <w:rsid w:val="00A75209"/>
    <w:rsid w:val="00A75D18"/>
    <w:rsid w:val="00A8082B"/>
    <w:rsid w:val="00A86BB3"/>
    <w:rsid w:val="00A95C9C"/>
    <w:rsid w:val="00AA3B9C"/>
    <w:rsid w:val="00AB5C2C"/>
    <w:rsid w:val="00AC75FD"/>
    <w:rsid w:val="00AC7A23"/>
    <w:rsid w:val="00AE60F7"/>
    <w:rsid w:val="00B75C9A"/>
    <w:rsid w:val="00B93E75"/>
    <w:rsid w:val="00BA0762"/>
    <w:rsid w:val="00BA1C26"/>
    <w:rsid w:val="00BB6295"/>
    <w:rsid w:val="00BD4738"/>
    <w:rsid w:val="00BF77BA"/>
    <w:rsid w:val="00C00307"/>
    <w:rsid w:val="00C01B9F"/>
    <w:rsid w:val="00C110BA"/>
    <w:rsid w:val="00C86D36"/>
    <w:rsid w:val="00C903D7"/>
    <w:rsid w:val="00CC5D9B"/>
    <w:rsid w:val="00D23E52"/>
    <w:rsid w:val="00D33193"/>
    <w:rsid w:val="00D57720"/>
    <w:rsid w:val="00D63291"/>
    <w:rsid w:val="00D63829"/>
    <w:rsid w:val="00D74581"/>
    <w:rsid w:val="00DA4B8E"/>
    <w:rsid w:val="00DB7017"/>
    <w:rsid w:val="00DC439D"/>
    <w:rsid w:val="00DD0D9A"/>
    <w:rsid w:val="00DD5168"/>
    <w:rsid w:val="00E14807"/>
    <w:rsid w:val="00E22177"/>
    <w:rsid w:val="00E40047"/>
    <w:rsid w:val="00E42FCB"/>
    <w:rsid w:val="00E45822"/>
    <w:rsid w:val="00E549B2"/>
    <w:rsid w:val="00EA033C"/>
    <w:rsid w:val="00EA5C77"/>
    <w:rsid w:val="00EB638B"/>
    <w:rsid w:val="00F16AE3"/>
    <w:rsid w:val="00F43123"/>
    <w:rsid w:val="00F43DE5"/>
    <w:rsid w:val="00F46024"/>
    <w:rsid w:val="00F50741"/>
    <w:rsid w:val="00F649B2"/>
    <w:rsid w:val="00F97DA8"/>
    <w:rsid w:val="00FA1DA5"/>
    <w:rsid w:val="00FD2035"/>
    <w:rsid w:val="00FD203A"/>
    <w:rsid w:val="01A86DDF"/>
    <w:rsid w:val="04CA311B"/>
    <w:rsid w:val="130209E2"/>
    <w:rsid w:val="13FD68A0"/>
    <w:rsid w:val="17F4534D"/>
    <w:rsid w:val="1AA60841"/>
    <w:rsid w:val="1B1C46CB"/>
    <w:rsid w:val="1BC03AE6"/>
    <w:rsid w:val="28B44824"/>
    <w:rsid w:val="2CC67DB6"/>
    <w:rsid w:val="2FB157C9"/>
    <w:rsid w:val="34254DB1"/>
    <w:rsid w:val="39A424DF"/>
    <w:rsid w:val="3D3F102E"/>
    <w:rsid w:val="420051CB"/>
    <w:rsid w:val="42D24F3D"/>
    <w:rsid w:val="48836B06"/>
    <w:rsid w:val="4A55510F"/>
    <w:rsid w:val="50AC627C"/>
    <w:rsid w:val="55933371"/>
    <w:rsid w:val="560728D6"/>
    <w:rsid w:val="56674659"/>
    <w:rsid w:val="5F47551D"/>
    <w:rsid w:val="63E91ADE"/>
    <w:rsid w:val="685C6769"/>
    <w:rsid w:val="793E5D52"/>
    <w:rsid w:val="7EBD43A0"/>
    <w:rsid w:val="FBFD2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360" w:lineRule="auto"/>
      <w:ind w:firstLine="420" w:firstLineChars="100"/>
    </w:pPr>
    <w:rPr>
      <w:rFonts w:ascii="仿宋" w:hAnsi="仿宋" w:eastAsia="仿宋_GB2312" w:cs="仿宋"/>
      <w:kern w:val="0"/>
      <w:sz w:val="28"/>
      <w:szCs w:val="24"/>
      <w:lang w:eastAsia="en-US"/>
    </w:rPr>
  </w:style>
  <w:style w:type="paragraph" w:styleId="3">
    <w:name w:val="Body Text"/>
    <w:basedOn w:val="1"/>
    <w:unhideWhenUsed/>
    <w:qFormat/>
    <w:uiPriority w:val="99"/>
    <w:pPr>
      <w:spacing w:after="120"/>
    </w:pPr>
  </w:style>
  <w:style w:type="paragraph" w:styleId="4">
    <w:name w:val="Body Text First Indent 2"/>
    <w:basedOn w:val="5"/>
    <w:unhideWhenUsed/>
    <w:qFormat/>
    <w:uiPriority w:val="99"/>
    <w:pPr>
      <w:spacing w:line="360" w:lineRule="auto"/>
      <w:ind w:firstLine="420" w:firstLineChars="200"/>
    </w:pPr>
    <w:rPr>
      <w:rFonts w:ascii="宋体" w:hAnsi="宋体" w:eastAsia="仿宋" w:cs="黑体"/>
      <w:sz w:val="28"/>
      <w:szCs w:val="24"/>
    </w:rPr>
  </w:style>
  <w:style w:type="paragraph" w:styleId="5">
    <w:name w:val="Body Text Indent"/>
    <w:basedOn w:val="1"/>
    <w:unhideWhenUsed/>
    <w:qFormat/>
    <w:uiPriority w:val="99"/>
    <w:pPr>
      <w:spacing w:after="120"/>
      <w:ind w:left="420" w:leftChars="200"/>
    </w:pPr>
  </w:style>
  <w:style w:type="paragraph" w:styleId="6">
    <w:name w:val="Document Map"/>
    <w:basedOn w:val="1"/>
    <w:link w:val="28"/>
    <w:unhideWhenUsed/>
    <w:qFormat/>
    <w:uiPriority w:val="99"/>
    <w:rPr>
      <w:rFonts w:ascii="宋体" w:eastAsia="宋体"/>
      <w:sz w:val="18"/>
      <w:szCs w:val="18"/>
    </w:rPr>
  </w:style>
  <w:style w:type="paragraph" w:styleId="7">
    <w:name w:val="Balloon Text"/>
    <w:basedOn w:val="1"/>
    <w:link w:val="25"/>
    <w:unhideWhenUsed/>
    <w:qFormat/>
    <w:uiPriority w:val="99"/>
    <w:pPr>
      <w:spacing w:after="0" w:line="240" w:lineRule="auto"/>
    </w:pPr>
    <w:rPr>
      <w:sz w:val="18"/>
      <w:szCs w:val="18"/>
    </w:rPr>
  </w:style>
  <w:style w:type="paragraph" w:styleId="8">
    <w:name w:val="footer"/>
    <w:basedOn w:val="1"/>
    <w:link w:val="15"/>
    <w:unhideWhenUsed/>
    <w:qFormat/>
    <w:uiPriority w:val="99"/>
    <w:pPr>
      <w:tabs>
        <w:tab w:val="center" w:pos="4153"/>
        <w:tab w:val="right" w:pos="8306"/>
      </w:tabs>
      <w:snapToGrid w:val="0"/>
      <w:spacing w:after="0" w:line="240" w:lineRule="auto"/>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Body Text 2"/>
    <w:basedOn w:val="1"/>
    <w:unhideWhenUsed/>
    <w:qFormat/>
    <w:uiPriority w:val="99"/>
    <w:pPr>
      <w:widowControl/>
      <w:numPr>
        <w:ilvl w:val="0"/>
        <w:numId w:val="1"/>
      </w:numPr>
      <w:tabs>
        <w:tab w:val="clear" w:pos="1440"/>
      </w:tabs>
      <w:spacing w:beforeLines="50" w:line="336" w:lineRule="auto"/>
      <w:ind w:left="0" w:firstLine="0"/>
    </w:pPr>
    <w:rPr>
      <w:rFonts w:ascii="Times New Roman" w:hAnsi="Times New Roman" w:eastAsia="黑体"/>
      <w:kern w:val="0"/>
      <w:szCs w:val="20"/>
      <w:lang w:val="en-GB"/>
    </w:rPr>
  </w:style>
  <w:style w:type="table" w:styleId="12">
    <w:name w:val="Table Grid"/>
    <w:basedOn w:val="11"/>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basedOn w:val="13"/>
    <w:unhideWhenUsed/>
    <w:qFormat/>
    <w:uiPriority w:val="99"/>
  </w:style>
  <w:style w:type="character" w:customStyle="1" w:styleId="15">
    <w:name w:val="页脚 字符"/>
    <w:basedOn w:val="13"/>
    <w:link w:val="8"/>
    <w:qFormat/>
    <w:uiPriority w:val="99"/>
    <w:rPr>
      <w:sz w:val="18"/>
      <w:szCs w:val="18"/>
    </w:rPr>
  </w:style>
  <w:style w:type="character" w:customStyle="1" w:styleId="16">
    <w:name w:val="页眉 字符"/>
    <w:basedOn w:val="13"/>
    <w:link w:val="9"/>
    <w:qFormat/>
    <w:uiPriority w:val="99"/>
    <w:rPr>
      <w:sz w:val="18"/>
      <w:szCs w:val="18"/>
    </w:rPr>
  </w:style>
  <w:style w:type="paragraph" w:customStyle="1" w:styleId="17">
    <w:name w:val="报告正文"/>
    <w:basedOn w:val="1"/>
    <w:link w:val="18"/>
    <w:qFormat/>
    <w:uiPriority w:val="99"/>
    <w:pPr>
      <w:adjustRightInd w:val="0"/>
      <w:snapToGrid w:val="0"/>
      <w:spacing w:after="0" w:line="312" w:lineRule="auto"/>
      <w:ind w:left="2600"/>
      <w:jc w:val="both"/>
    </w:pPr>
    <w:rPr>
      <w:rFonts w:ascii="华文细黑" w:hAnsi="Times New Roman" w:eastAsia="华文细黑" w:cs="Times New Roman"/>
      <w:kern w:val="0"/>
      <w:sz w:val="20"/>
      <w:szCs w:val="20"/>
      <w:lang w:eastAsia="en-US"/>
    </w:rPr>
  </w:style>
  <w:style w:type="character" w:customStyle="1" w:styleId="18">
    <w:name w:val="报告正文 Char"/>
    <w:link w:val="17"/>
    <w:qFormat/>
    <w:locked/>
    <w:uiPriority w:val="99"/>
    <w:rPr>
      <w:rFonts w:ascii="华文细黑" w:hAnsi="Times New Roman" w:eastAsia="华文细黑" w:cs="Times New Roman"/>
      <w:kern w:val="0"/>
      <w:sz w:val="20"/>
      <w:szCs w:val="20"/>
      <w:lang w:eastAsia="en-US"/>
    </w:rPr>
  </w:style>
  <w:style w:type="paragraph" w:customStyle="1" w:styleId="19">
    <w:name w:val="列出段落1"/>
    <w:basedOn w:val="1"/>
    <w:qFormat/>
    <w:uiPriority w:val="34"/>
    <w:pPr>
      <w:ind w:firstLine="420" w:firstLineChars="200"/>
    </w:pPr>
  </w:style>
  <w:style w:type="paragraph" w:customStyle="1" w:styleId="20">
    <w:name w:val="纯文本1"/>
    <w:basedOn w:val="1"/>
    <w:link w:val="21"/>
    <w:qFormat/>
    <w:uiPriority w:val="0"/>
    <w:pPr>
      <w:autoSpaceDE w:val="0"/>
      <w:autoSpaceDN w:val="0"/>
      <w:adjustRightInd w:val="0"/>
      <w:spacing w:after="0" w:line="240" w:lineRule="auto"/>
      <w:jc w:val="both"/>
      <w:textAlignment w:val="baseline"/>
    </w:pPr>
    <w:rPr>
      <w:rFonts w:ascii="宋体" w:hAnsi="Times New Roman" w:eastAsia="宋体" w:cs="Times New Roman"/>
      <w:szCs w:val="20"/>
    </w:rPr>
  </w:style>
  <w:style w:type="character" w:customStyle="1" w:styleId="21">
    <w:name w:val="Plain Text Char"/>
    <w:basedOn w:val="13"/>
    <w:link w:val="20"/>
    <w:qFormat/>
    <w:uiPriority w:val="0"/>
    <w:rPr>
      <w:rFonts w:ascii="宋体" w:hAnsi="Times New Roman" w:eastAsia="宋体" w:cs="Times New Roman"/>
      <w:szCs w:val="20"/>
    </w:rPr>
  </w:style>
  <w:style w:type="table" w:customStyle="1" w:styleId="22">
    <w:name w:val="Gridding1"/>
    <w:basedOn w:val="1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徽标 2"/>
    <w:basedOn w:val="1"/>
    <w:qFormat/>
    <w:uiPriority w:val="0"/>
    <w:pPr>
      <w:widowControl/>
      <w:overflowPunct w:val="0"/>
      <w:autoSpaceDE w:val="0"/>
      <w:autoSpaceDN w:val="0"/>
      <w:ind w:left="840" w:right="-360"/>
    </w:pPr>
    <w:rPr>
      <w:i/>
      <w:spacing w:val="-6"/>
      <w:kern w:val="0"/>
      <w:sz w:val="24"/>
      <w:szCs w:val="20"/>
      <w:lang w:bidi="he-IL"/>
    </w:rPr>
  </w:style>
  <w:style w:type="paragraph" w:customStyle="1" w:styleId="24">
    <w:name w:val="Table Paragraph"/>
    <w:basedOn w:val="1"/>
    <w:qFormat/>
    <w:uiPriority w:val="99"/>
    <w:pPr>
      <w:spacing w:before="44" w:after="0" w:line="560" w:lineRule="exact"/>
      <w:ind w:left="147" w:firstLine="200" w:firstLineChars="200"/>
      <w:jc w:val="center"/>
    </w:pPr>
    <w:rPr>
      <w:rFonts w:ascii="宋体" w:hAnsi="宋体" w:eastAsia="仿宋_GB2312" w:cs="宋体"/>
      <w:kern w:val="0"/>
      <w:sz w:val="22"/>
      <w:lang w:eastAsia="en-US"/>
    </w:rPr>
  </w:style>
  <w:style w:type="character" w:customStyle="1" w:styleId="25">
    <w:name w:val="批注框文本 字符"/>
    <w:basedOn w:val="13"/>
    <w:link w:val="7"/>
    <w:semiHidden/>
    <w:qFormat/>
    <w:uiPriority w:val="99"/>
    <w:rPr>
      <w:kern w:val="2"/>
      <w:sz w:val="18"/>
      <w:szCs w:val="18"/>
    </w:rPr>
  </w:style>
  <w:style w:type="paragraph" w:customStyle="1" w:styleId="26">
    <w:name w:val="表"/>
    <w:next w:val="1"/>
    <w:link w:val="27"/>
    <w:qFormat/>
    <w:uiPriority w:val="99"/>
    <w:rPr>
      <w:rFonts w:ascii="Calibri" w:hAnsi="Calibri" w:eastAsia="宋体" w:cs="Times New Roman"/>
      <w:kern w:val="2"/>
      <w:sz w:val="21"/>
      <w:szCs w:val="22"/>
      <w:lang w:val="en-US" w:eastAsia="zh-CN" w:bidi="ar-SA"/>
    </w:rPr>
  </w:style>
  <w:style w:type="character" w:customStyle="1" w:styleId="27">
    <w:name w:val="表 Char"/>
    <w:link w:val="26"/>
    <w:qFormat/>
    <w:locked/>
    <w:uiPriority w:val="99"/>
    <w:rPr>
      <w:rFonts w:ascii="Calibri" w:hAnsi="Calibri" w:eastAsia="宋体" w:cs="Times New Roman"/>
      <w:kern w:val="2"/>
      <w:sz w:val="21"/>
      <w:szCs w:val="22"/>
    </w:rPr>
  </w:style>
  <w:style w:type="character" w:customStyle="1" w:styleId="28">
    <w:name w:val="文档结构图 字符"/>
    <w:basedOn w:val="13"/>
    <w:link w:val="6"/>
    <w:semiHidden/>
    <w:uiPriority w:val="99"/>
    <w:rPr>
      <w:rFonts w:ascii="宋体" w:eastAsia="宋体"/>
      <w:kern w:val="2"/>
      <w:sz w:val="18"/>
      <w:szCs w:val="18"/>
    </w:rPr>
  </w:style>
  <w:style w:type="paragraph" w:customStyle="1" w:styleId="29">
    <w:name w:val="样式4"/>
    <w:basedOn w:val="1"/>
    <w:qFormat/>
    <w:uiPriority w:val="0"/>
    <w:pPr>
      <w:widowControl/>
      <w:adjustRightInd w:val="0"/>
      <w:snapToGrid w:val="0"/>
      <w:spacing w:after="0" w:line="580" w:lineRule="exact"/>
      <w:ind w:firstLine="560" w:firstLineChars="200"/>
    </w:pPr>
    <w:rPr>
      <w:rFonts w:ascii="宋体" w:hAnsi="宋体"/>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Pages>
  <Words>797</Words>
  <Characters>4545</Characters>
  <Lines>37</Lines>
  <Paragraphs>10</Paragraphs>
  <TotalTime>9</TotalTime>
  <ScaleCrop>false</ScaleCrop>
  <LinksUpToDate>false</LinksUpToDate>
  <CharactersWithSpaces>5332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2018-05-02T18:28:00Z</dcterms:created>
  <dc:creator>张华欣律师</dc:creator>
  <cp:lastModifiedBy>MC</cp:lastModifiedBy>
  <cp:lastPrinted>2020-05-20T01:41:00Z</cp:lastPrinted>
  <dcterms:modified xsi:type="dcterms:W3CDTF">2020-05-21T02:20:29Z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