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line="480" w:lineRule="exact"/>
        <w:ind w:right="-63" w:rightChars="-30"/>
        <w:rPr>
          <w:rFonts w:hint="eastAsia" w:ascii="宋体" w:hAnsi="宋体" w:cs="宋体"/>
          <w:bCs w:val="0"/>
          <w:color w:val="auto"/>
        </w:rPr>
      </w:pPr>
      <w:bookmarkStart w:id="2" w:name="_GoBack"/>
      <w:bookmarkEnd w:id="2"/>
      <w:bookmarkStart w:id="0" w:name="_Toc4489"/>
      <w:bookmarkStart w:id="1" w:name="_Toc2215"/>
      <w:r>
        <w:rPr>
          <w:rFonts w:hint="eastAsia" w:ascii="宋体" w:hAnsi="宋体" w:cs="宋体"/>
          <w:bCs w:val="0"/>
          <w:color w:val="auto"/>
        </w:rPr>
        <w:t>采购需求</w:t>
      </w:r>
      <w:bookmarkEnd w:id="0"/>
      <w:bookmarkEnd w:id="1"/>
    </w:p>
    <w:p>
      <w:pPr>
        <w:widowControl/>
        <w:numPr>
          <w:ilvl w:val="3"/>
          <w:numId w:val="1"/>
        </w:numPr>
        <w:adjustRightInd w:val="0"/>
        <w:snapToGrid w:val="0"/>
        <w:spacing w:line="500" w:lineRule="exact"/>
        <w:rPr>
          <w:rFonts w:ascii="宋体" w:hAnsi="宋体"/>
          <w:b/>
          <w:color w:val="auto"/>
          <w:kern w:val="0"/>
          <w:sz w:val="32"/>
          <w:szCs w:val="32"/>
        </w:rPr>
      </w:pPr>
      <w:r>
        <w:rPr>
          <w:rFonts w:ascii="宋体" w:hAnsi="宋体"/>
          <w:b/>
          <w:color w:val="auto"/>
          <w:kern w:val="0"/>
          <w:sz w:val="32"/>
          <w:szCs w:val="32"/>
        </w:rPr>
        <w:t>相关说明</w:t>
      </w:r>
    </w:p>
    <w:p>
      <w:pPr>
        <w:widowControl/>
        <w:numPr>
          <w:ilvl w:val="2"/>
          <w:numId w:val="2"/>
        </w:numPr>
        <w:adjustRightInd w:val="0"/>
        <w:snapToGrid w:val="0"/>
        <w:spacing w:line="500" w:lineRule="exact"/>
        <w:ind w:firstLine="420" w:firstLineChars="200"/>
        <w:jc w:val="left"/>
        <w:rPr>
          <w:rFonts w:hint="eastAsia" w:ascii="宋体" w:hAnsi="宋体"/>
          <w:color w:val="auto"/>
          <w:kern w:val="0"/>
          <w:szCs w:val="21"/>
        </w:rPr>
      </w:pPr>
      <w:r>
        <w:rPr>
          <w:rFonts w:ascii="宋体" w:hAnsi="宋体"/>
          <w:bCs/>
          <w:color w:val="auto"/>
          <w:kern w:val="0"/>
          <w:szCs w:val="21"/>
        </w:rPr>
        <w:t>招标文件中</w:t>
      </w:r>
      <w:r>
        <w:rPr>
          <w:rFonts w:hint="eastAsia" w:ascii="宋体" w:hAnsi="宋体"/>
          <w:bCs/>
          <w:color w:val="auto"/>
          <w:kern w:val="0"/>
          <w:szCs w:val="21"/>
        </w:rPr>
        <w:t>列出</w:t>
      </w:r>
      <w:r>
        <w:rPr>
          <w:rFonts w:ascii="宋体" w:hAnsi="宋体"/>
          <w:bCs/>
          <w:color w:val="auto"/>
          <w:kern w:val="0"/>
          <w:szCs w:val="21"/>
        </w:rPr>
        <w:t>的质</w:t>
      </w:r>
      <w:r>
        <w:rPr>
          <w:rFonts w:hint="eastAsia" w:ascii="宋体" w:hAnsi="宋体"/>
          <w:bCs/>
          <w:color w:val="auto"/>
          <w:kern w:val="0"/>
          <w:szCs w:val="21"/>
        </w:rPr>
        <w:t>量技术参数</w:t>
      </w:r>
      <w:r>
        <w:rPr>
          <w:rFonts w:ascii="宋体" w:hAnsi="宋体"/>
          <w:bCs/>
          <w:color w:val="auto"/>
          <w:kern w:val="0"/>
          <w:szCs w:val="21"/>
        </w:rPr>
        <w:t>或</w:t>
      </w:r>
      <w:r>
        <w:rPr>
          <w:rFonts w:hint="eastAsia" w:ascii="宋体" w:hAnsi="宋体"/>
          <w:bCs/>
          <w:color w:val="auto"/>
          <w:kern w:val="0"/>
          <w:szCs w:val="21"/>
        </w:rPr>
        <w:t>型号</w:t>
      </w:r>
      <w:r>
        <w:rPr>
          <w:rFonts w:ascii="宋体" w:hAnsi="宋体"/>
          <w:bCs/>
          <w:color w:val="auto"/>
          <w:kern w:val="0"/>
          <w:szCs w:val="21"/>
        </w:rPr>
        <w:t>与某产品相同</w:t>
      </w:r>
      <w:r>
        <w:rPr>
          <w:rFonts w:hint="eastAsia" w:ascii="宋体" w:hAnsi="宋体"/>
          <w:bCs/>
          <w:color w:val="auto"/>
          <w:kern w:val="0"/>
          <w:szCs w:val="21"/>
        </w:rPr>
        <w:t>时</w:t>
      </w:r>
      <w:r>
        <w:rPr>
          <w:rFonts w:ascii="宋体" w:hAnsi="宋体"/>
          <w:bCs/>
          <w:color w:val="auto"/>
          <w:kern w:val="0"/>
          <w:szCs w:val="21"/>
        </w:rPr>
        <w:t>仅</w:t>
      </w:r>
      <w:r>
        <w:rPr>
          <w:rFonts w:hint="eastAsia" w:ascii="宋体" w:hAnsi="宋体"/>
          <w:bCs/>
          <w:color w:val="auto"/>
          <w:kern w:val="0"/>
          <w:szCs w:val="21"/>
        </w:rPr>
        <w:t>作为</w:t>
      </w:r>
      <w:r>
        <w:rPr>
          <w:rFonts w:ascii="宋体" w:hAnsi="宋体"/>
          <w:bCs/>
          <w:color w:val="auto"/>
          <w:kern w:val="0"/>
          <w:szCs w:val="21"/>
        </w:rPr>
        <w:t>投标人选择</w:t>
      </w:r>
      <w:r>
        <w:rPr>
          <w:rFonts w:hint="eastAsia" w:ascii="宋体" w:hAnsi="宋体"/>
          <w:bCs/>
          <w:color w:val="auto"/>
          <w:kern w:val="0"/>
          <w:szCs w:val="21"/>
        </w:rPr>
        <w:t>投标产品</w:t>
      </w:r>
      <w:r>
        <w:rPr>
          <w:rFonts w:ascii="宋体" w:hAnsi="宋体"/>
          <w:bCs/>
          <w:color w:val="auto"/>
          <w:kern w:val="0"/>
          <w:szCs w:val="21"/>
        </w:rPr>
        <w:t>时在质量水平上</w:t>
      </w:r>
      <w:r>
        <w:rPr>
          <w:rFonts w:hint="eastAsia" w:ascii="宋体" w:hAnsi="宋体"/>
          <w:bCs/>
          <w:color w:val="auto"/>
          <w:kern w:val="0"/>
          <w:szCs w:val="21"/>
        </w:rPr>
        <w:t>的</w:t>
      </w:r>
      <w:r>
        <w:rPr>
          <w:rFonts w:ascii="宋体" w:hAnsi="宋体"/>
          <w:bCs/>
          <w:color w:val="auto"/>
          <w:kern w:val="0"/>
          <w:szCs w:val="21"/>
        </w:rPr>
        <w:t>参考，不</w:t>
      </w:r>
      <w:r>
        <w:rPr>
          <w:rFonts w:hint="eastAsia" w:ascii="宋体" w:hAnsi="宋体"/>
          <w:bCs/>
          <w:color w:val="auto"/>
          <w:kern w:val="0"/>
          <w:szCs w:val="21"/>
        </w:rPr>
        <w:t>强</w:t>
      </w:r>
      <w:r>
        <w:rPr>
          <w:rFonts w:ascii="宋体" w:hAnsi="宋体"/>
          <w:bCs/>
          <w:color w:val="auto"/>
          <w:kern w:val="0"/>
          <w:szCs w:val="21"/>
        </w:rPr>
        <w:t>制</w:t>
      </w:r>
      <w:r>
        <w:rPr>
          <w:rFonts w:hint="eastAsia" w:ascii="宋体" w:hAnsi="宋体"/>
          <w:bCs/>
          <w:color w:val="auto"/>
          <w:kern w:val="0"/>
          <w:szCs w:val="21"/>
        </w:rPr>
        <w:t>采购某一特定产品</w:t>
      </w:r>
      <w:r>
        <w:rPr>
          <w:rFonts w:ascii="宋体" w:hAnsi="宋体"/>
          <w:bCs/>
          <w:color w:val="auto"/>
          <w:kern w:val="0"/>
          <w:szCs w:val="21"/>
        </w:rPr>
        <w:t>，投标人可提供</w:t>
      </w:r>
      <w:r>
        <w:rPr>
          <w:rFonts w:hint="eastAsia" w:ascii="宋体" w:hAnsi="宋体"/>
          <w:bCs/>
          <w:color w:val="auto"/>
          <w:kern w:val="0"/>
          <w:szCs w:val="21"/>
        </w:rPr>
        <w:t>符合采购需求</w:t>
      </w:r>
      <w:r>
        <w:rPr>
          <w:rFonts w:ascii="宋体" w:hAnsi="宋体"/>
          <w:bCs/>
          <w:color w:val="auto"/>
          <w:kern w:val="0"/>
          <w:szCs w:val="21"/>
        </w:rPr>
        <w:t>或</w:t>
      </w:r>
      <w:r>
        <w:rPr>
          <w:rFonts w:hint="eastAsia" w:ascii="宋体" w:hAnsi="宋体"/>
          <w:bCs/>
          <w:color w:val="auto"/>
          <w:kern w:val="0"/>
          <w:szCs w:val="21"/>
        </w:rPr>
        <w:t>更</w:t>
      </w:r>
      <w:r>
        <w:rPr>
          <w:rFonts w:ascii="宋体" w:hAnsi="宋体"/>
          <w:bCs/>
          <w:color w:val="auto"/>
          <w:kern w:val="0"/>
          <w:szCs w:val="21"/>
        </w:rPr>
        <w:t>优</w:t>
      </w:r>
      <w:r>
        <w:rPr>
          <w:rFonts w:hint="eastAsia" w:ascii="宋体" w:hAnsi="宋体"/>
          <w:bCs/>
          <w:color w:val="auto"/>
          <w:kern w:val="0"/>
          <w:szCs w:val="21"/>
        </w:rPr>
        <w:t>的产品及</w:t>
      </w:r>
      <w:r>
        <w:rPr>
          <w:rFonts w:ascii="宋体" w:hAnsi="宋体"/>
          <w:bCs/>
          <w:color w:val="auto"/>
          <w:kern w:val="0"/>
          <w:szCs w:val="21"/>
        </w:rPr>
        <w:t>方案</w:t>
      </w:r>
      <w:r>
        <w:rPr>
          <w:rFonts w:ascii="宋体" w:hAnsi="宋体"/>
          <w:color w:val="auto"/>
          <w:kern w:val="0"/>
          <w:szCs w:val="21"/>
        </w:rPr>
        <w:t>。</w:t>
      </w:r>
    </w:p>
    <w:p>
      <w:pPr>
        <w:widowControl/>
        <w:numPr>
          <w:ilvl w:val="2"/>
          <w:numId w:val="2"/>
        </w:numPr>
        <w:adjustRightInd w:val="0"/>
        <w:snapToGrid w:val="0"/>
        <w:spacing w:line="500" w:lineRule="exact"/>
        <w:ind w:firstLine="420" w:firstLineChars="200"/>
        <w:jc w:val="left"/>
        <w:rPr>
          <w:rFonts w:hint="eastAsia" w:ascii="宋体" w:hAnsi="宋体"/>
          <w:color w:val="auto"/>
          <w:kern w:val="0"/>
          <w:szCs w:val="21"/>
        </w:rPr>
      </w:pPr>
      <w:r>
        <w:rPr>
          <w:rFonts w:hint="eastAsia" w:ascii="宋体" w:hAnsi="宋体"/>
          <w:color w:val="auto"/>
          <w:kern w:val="0"/>
          <w:szCs w:val="21"/>
        </w:rPr>
        <w:t>本次采购内容如果要求的某些技术标准低于国家标准，均以最新的国家标准为准。招标技术要求中未明确的技术标准也均不得低于国家标准；</w:t>
      </w:r>
    </w:p>
    <w:p>
      <w:pPr>
        <w:widowControl/>
        <w:snapToGrid w:val="0"/>
        <w:spacing w:line="500" w:lineRule="exact"/>
        <w:ind w:firstLine="422" w:firstLineChars="200"/>
        <w:jc w:val="left"/>
        <w:rPr>
          <w:rFonts w:hint="eastAsia" w:ascii="宋体" w:hAnsi="宋体"/>
          <w:b/>
          <w:bCs/>
          <w:color w:val="auto"/>
          <w:kern w:val="0"/>
          <w:szCs w:val="21"/>
        </w:rPr>
      </w:pPr>
      <w:r>
        <w:rPr>
          <w:rFonts w:hint="eastAsia" w:ascii="宋体" w:hAnsi="宋体"/>
          <w:b/>
          <w:bCs/>
          <w:color w:val="auto"/>
          <w:kern w:val="0"/>
          <w:szCs w:val="21"/>
        </w:rPr>
        <w:t>本次采购产品如在国家强制性认证范围内的必须取得国家强制性CCC认证（提供CCC认证证书，投标文件商务、技术证明文件正本中提供复印件加盖投标人或生产厂家公章，副本可为正本复印件）。</w:t>
      </w:r>
    </w:p>
    <w:p>
      <w:pPr>
        <w:widowControl/>
        <w:numPr>
          <w:ilvl w:val="2"/>
          <w:numId w:val="2"/>
        </w:numPr>
        <w:adjustRightInd w:val="0"/>
        <w:snapToGrid w:val="0"/>
        <w:spacing w:line="500" w:lineRule="exact"/>
        <w:ind w:firstLine="420" w:firstLineChars="200"/>
        <w:jc w:val="left"/>
        <w:rPr>
          <w:rFonts w:hint="eastAsia" w:ascii="宋体" w:hAnsi="宋体"/>
          <w:color w:val="auto"/>
          <w:kern w:val="0"/>
          <w:szCs w:val="21"/>
        </w:rPr>
      </w:pPr>
      <w:r>
        <w:rPr>
          <w:rFonts w:ascii="宋体" w:hAnsi="宋体"/>
          <w:color w:val="auto"/>
          <w:kern w:val="0"/>
          <w:szCs w:val="21"/>
        </w:rPr>
        <w:t>本采购项目为交钥匙项目，</w:t>
      </w:r>
      <w:r>
        <w:rPr>
          <w:rFonts w:hint="eastAsia" w:ascii="宋体" w:hAnsi="宋体"/>
          <w:color w:val="auto"/>
          <w:kern w:val="0"/>
          <w:szCs w:val="21"/>
        </w:rPr>
        <w:t>验收合格前</w:t>
      </w:r>
      <w:r>
        <w:rPr>
          <w:rFonts w:ascii="宋体" w:hAnsi="宋体"/>
          <w:color w:val="auto"/>
          <w:kern w:val="0"/>
          <w:szCs w:val="21"/>
        </w:rPr>
        <w:t>所需的一切费用</w:t>
      </w:r>
      <w:r>
        <w:rPr>
          <w:rFonts w:hint="eastAsia" w:ascii="宋体" w:hAnsi="宋体"/>
          <w:color w:val="auto"/>
          <w:kern w:val="0"/>
          <w:szCs w:val="21"/>
        </w:rPr>
        <w:t>均</w:t>
      </w:r>
      <w:r>
        <w:rPr>
          <w:rFonts w:ascii="宋体" w:hAnsi="宋体"/>
          <w:color w:val="auto"/>
          <w:kern w:val="0"/>
          <w:szCs w:val="21"/>
        </w:rPr>
        <w:t>包含在报价之中，采购人不</w:t>
      </w:r>
      <w:r>
        <w:rPr>
          <w:rFonts w:hint="eastAsia" w:ascii="宋体" w:hAnsi="宋体"/>
          <w:color w:val="auto"/>
          <w:kern w:val="0"/>
          <w:szCs w:val="21"/>
        </w:rPr>
        <w:t>承担成交价格以外的</w:t>
      </w:r>
      <w:r>
        <w:rPr>
          <w:rFonts w:ascii="宋体" w:hAnsi="宋体"/>
          <w:color w:val="auto"/>
          <w:kern w:val="0"/>
          <w:szCs w:val="21"/>
        </w:rPr>
        <w:t>任何费用。</w:t>
      </w:r>
    </w:p>
    <w:p>
      <w:pPr>
        <w:widowControl/>
        <w:numPr>
          <w:ilvl w:val="3"/>
          <w:numId w:val="1"/>
        </w:numPr>
        <w:adjustRightInd w:val="0"/>
        <w:snapToGrid w:val="0"/>
        <w:spacing w:line="500" w:lineRule="exact"/>
        <w:rPr>
          <w:rFonts w:hint="eastAsia" w:ascii="宋体" w:hAnsi="宋体"/>
          <w:b/>
          <w:color w:val="auto"/>
          <w:kern w:val="0"/>
          <w:sz w:val="32"/>
          <w:szCs w:val="32"/>
        </w:rPr>
      </w:pPr>
      <w:r>
        <w:rPr>
          <w:rFonts w:hint="eastAsia" w:ascii="宋体" w:hAnsi="宋体"/>
          <w:b/>
          <w:color w:val="auto"/>
          <w:kern w:val="0"/>
          <w:sz w:val="32"/>
          <w:szCs w:val="32"/>
        </w:rPr>
        <w:t>商务要求：</w:t>
      </w:r>
    </w:p>
    <w:p>
      <w:pPr>
        <w:numPr>
          <w:ilvl w:val="2"/>
          <w:numId w:val="3"/>
        </w:numPr>
        <w:snapToGrid w:val="0"/>
        <w:spacing w:line="500" w:lineRule="exact"/>
        <w:ind w:firstLine="420" w:firstLineChars="200"/>
        <w:rPr>
          <w:rFonts w:hint="eastAsia" w:ascii="宋体" w:hAnsi="宋体"/>
          <w:color w:val="auto"/>
          <w:szCs w:val="21"/>
        </w:rPr>
      </w:pPr>
      <w:r>
        <w:rPr>
          <w:rFonts w:hint="eastAsia" w:ascii="宋体" w:hAnsi="宋体"/>
          <w:color w:val="auto"/>
          <w:szCs w:val="21"/>
        </w:rPr>
        <w:t>合同履行期限：签订合同之日起7天内完成</w:t>
      </w:r>
      <w:r>
        <w:rPr>
          <w:rFonts w:hint="eastAsia" w:ascii="宋体" w:hAnsi="宋体"/>
          <w:color w:val="auto"/>
          <w:szCs w:val="21"/>
          <w:lang w:eastAsia="zh-CN"/>
        </w:rPr>
        <w:t>。</w:t>
      </w:r>
    </w:p>
    <w:p>
      <w:pPr>
        <w:numPr>
          <w:ilvl w:val="2"/>
          <w:numId w:val="3"/>
        </w:numPr>
        <w:snapToGrid w:val="0"/>
        <w:spacing w:line="500" w:lineRule="exact"/>
        <w:ind w:firstLine="420" w:firstLineChars="200"/>
        <w:rPr>
          <w:rFonts w:hint="eastAsia" w:ascii="宋体" w:hAnsi="宋体"/>
          <w:color w:val="auto"/>
          <w:szCs w:val="21"/>
        </w:rPr>
      </w:pPr>
      <w:r>
        <w:rPr>
          <w:rFonts w:hint="eastAsia" w:ascii="宋体" w:hAnsi="宋体"/>
          <w:color w:val="auto"/>
          <w:szCs w:val="21"/>
        </w:rPr>
        <w:t>供货安装地点：</w:t>
      </w:r>
      <w:r>
        <w:rPr>
          <w:rFonts w:hint="eastAsia" w:ascii="宋体" w:hAnsi="宋体" w:cs="Times New Roman"/>
          <w:color w:val="auto"/>
          <w:sz w:val="21"/>
          <w:szCs w:val="21"/>
        </w:rPr>
        <w:t>武陟县城市管理局</w:t>
      </w:r>
      <w:r>
        <w:rPr>
          <w:rFonts w:hint="eastAsia" w:ascii="宋体" w:hAnsi="宋体"/>
          <w:color w:val="auto"/>
          <w:szCs w:val="21"/>
          <w:lang w:eastAsia="zh-CN"/>
        </w:rPr>
        <w:t>指定地点。</w:t>
      </w:r>
    </w:p>
    <w:p>
      <w:pPr>
        <w:numPr>
          <w:ilvl w:val="2"/>
          <w:numId w:val="3"/>
        </w:numPr>
        <w:snapToGrid w:val="0"/>
        <w:spacing w:line="500" w:lineRule="exact"/>
        <w:ind w:firstLine="420" w:firstLineChars="200"/>
        <w:rPr>
          <w:rFonts w:hint="eastAsia" w:ascii="宋体" w:hAnsi="宋体"/>
          <w:color w:val="auto"/>
          <w:szCs w:val="21"/>
        </w:rPr>
      </w:pPr>
      <w:r>
        <w:rPr>
          <w:rFonts w:hint="eastAsia" w:ascii="宋体" w:hAnsi="宋体"/>
          <w:color w:val="auto"/>
          <w:szCs w:val="21"/>
        </w:rPr>
        <w:t xml:space="preserve">质量标准：必须符合国家及行业相关标准和规范及国家强制性标准。 </w:t>
      </w:r>
    </w:p>
    <w:p>
      <w:pPr>
        <w:numPr>
          <w:ilvl w:val="2"/>
          <w:numId w:val="3"/>
        </w:numPr>
        <w:snapToGrid w:val="0"/>
        <w:spacing w:line="500" w:lineRule="exact"/>
        <w:ind w:firstLine="420" w:firstLineChars="200"/>
        <w:rPr>
          <w:rFonts w:hint="eastAsia" w:ascii="宋体" w:hAnsi="宋体"/>
          <w:color w:val="auto"/>
          <w:szCs w:val="21"/>
        </w:rPr>
      </w:pPr>
      <w:r>
        <w:rPr>
          <w:rFonts w:hint="eastAsia" w:ascii="宋体" w:hAnsi="宋体"/>
          <w:color w:val="auto"/>
          <w:szCs w:val="21"/>
          <w:lang w:eastAsia="zh-CN"/>
        </w:rPr>
        <w:t>质量保证期</w:t>
      </w:r>
      <w:r>
        <w:rPr>
          <w:rFonts w:hint="eastAsia" w:ascii="宋体" w:hAnsi="宋体"/>
          <w:color w:val="auto"/>
          <w:szCs w:val="21"/>
        </w:rPr>
        <w:t>：1年（系统安装调试合格后起）</w:t>
      </w:r>
      <w:r>
        <w:rPr>
          <w:rFonts w:hint="eastAsia" w:ascii="宋体" w:hAnsi="宋体"/>
          <w:color w:val="auto"/>
          <w:szCs w:val="21"/>
          <w:lang w:eastAsia="zh-CN"/>
        </w:rPr>
        <w:t>。</w:t>
      </w:r>
    </w:p>
    <w:p>
      <w:pPr>
        <w:snapToGrid w:val="0"/>
        <w:spacing w:line="500" w:lineRule="exact"/>
        <w:ind w:left="142" w:firstLine="420" w:firstLineChars="200"/>
        <w:rPr>
          <w:rFonts w:hint="eastAsia" w:ascii="宋体" w:hAnsi="宋体"/>
          <w:color w:val="auto"/>
          <w:szCs w:val="21"/>
        </w:rPr>
      </w:pPr>
      <w:r>
        <w:rPr>
          <w:rFonts w:hint="eastAsia" w:ascii="宋体" w:hAnsi="宋体"/>
          <w:color w:val="auto"/>
          <w:szCs w:val="21"/>
        </w:rPr>
        <w:t>5.履约担保：中标人与采购人签订合同前，需向采购人交纳中标金额的</w:t>
      </w:r>
      <w:r>
        <w:rPr>
          <w:rFonts w:hint="eastAsia" w:ascii="宋体" w:hAnsi="宋体"/>
          <w:color w:val="auto"/>
          <w:szCs w:val="21"/>
          <w:u w:val="single"/>
        </w:rPr>
        <w:t xml:space="preserve"> 5 </w:t>
      </w:r>
      <w:r>
        <w:rPr>
          <w:rFonts w:hint="eastAsia" w:ascii="宋体" w:hAnsi="宋体"/>
          <w:color w:val="auto"/>
          <w:szCs w:val="21"/>
        </w:rPr>
        <w:t>%作为履约保证金，合同履行结束，经验收合格后退还。</w:t>
      </w:r>
    </w:p>
    <w:p>
      <w:pPr>
        <w:snapToGrid w:val="0"/>
        <w:spacing w:line="500" w:lineRule="exact"/>
        <w:ind w:firstLine="420" w:firstLineChars="200"/>
        <w:rPr>
          <w:rFonts w:hint="eastAsia" w:ascii="宋体" w:hAnsi="宋体" w:eastAsia="宋体"/>
          <w:color w:val="auto"/>
          <w:szCs w:val="21"/>
          <w:lang w:eastAsia="zh-CN"/>
        </w:rPr>
      </w:pPr>
      <w:r>
        <w:rPr>
          <w:rFonts w:hint="eastAsia" w:ascii="宋体" w:hAnsi="宋体"/>
          <w:color w:val="auto"/>
          <w:szCs w:val="21"/>
        </w:rPr>
        <w:t>6.付款方式：</w:t>
      </w:r>
      <w:r>
        <w:rPr>
          <w:rFonts w:hint="eastAsia" w:ascii="宋体" w:hAnsi="宋体"/>
          <w:color w:val="auto"/>
          <w:szCs w:val="21"/>
          <w:u w:val="none"/>
          <w:lang w:val="en-US" w:eastAsia="zh-CN"/>
        </w:rPr>
        <w:t>项目竣工验收合格付65%，剩余35%一年后付清</w:t>
      </w:r>
      <w:r>
        <w:rPr>
          <w:rFonts w:hint="eastAsia" w:ascii="宋体" w:hAnsi="宋体"/>
          <w:color w:val="auto"/>
          <w:szCs w:val="21"/>
          <w:u w:val="none"/>
          <w:lang w:eastAsia="zh-CN"/>
        </w:rPr>
        <w:t>。</w:t>
      </w:r>
    </w:p>
    <w:p>
      <w:pPr>
        <w:widowControl/>
        <w:numPr>
          <w:ilvl w:val="3"/>
          <w:numId w:val="1"/>
        </w:numPr>
        <w:adjustRightInd w:val="0"/>
        <w:snapToGrid w:val="0"/>
        <w:spacing w:line="500" w:lineRule="exact"/>
        <w:rPr>
          <w:rFonts w:hint="eastAsia" w:ascii="宋体" w:hAnsi="宋体"/>
          <w:b/>
          <w:color w:val="auto"/>
          <w:kern w:val="0"/>
          <w:sz w:val="32"/>
          <w:szCs w:val="32"/>
        </w:rPr>
      </w:pPr>
      <w:r>
        <w:rPr>
          <w:rFonts w:hint="eastAsia" w:ascii="宋体" w:hAnsi="宋体"/>
          <w:b/>
          <w:color w:val="auto"/>
          <w:kern w:val="0"/>
          <w:sz w:val="32"/>
          <w:szCs w:val="32"/>
        </w:rPr>
        <w:br w:type="page"/>
      </w:r>
      <w:r>
        <w:rPr>
          <w:rFonts w:hint="eastAsia" w:ascii="宋体" w:hAnsi="宋体"/>
          <w:b/>
          <w:color w:val="auto"/>
          <w:kern w:val="0"/>
          <w:sz w:val="32"/>
          <w:szCs w:val="32"/>
        </w:rPr>
        <w:t>采购内容及技术要求</w:t>
      </w:r>
    </w:p>
    <w:tbl>
      <w:tblPr>
        <w:tblStyle w:val="4"/>
        <w:tblW w:w="0" w:type="auto"/>
        <w:jc w:val="right"/>
        <w:tblLayout w:type="fixed"/>
        <w:tblCellMar>
          <w:top w:w="0" w:type="dxa"/>
          <w:left w:w="108" w:type="dxa"/>
          <w:bottom w:w="0" w:type="dxa"/>
          <w:right w:w="108" w:type="dxa"/>
        </w:tblCellMar>
      </w:tblPr>
      <w:tblGrid>
        <w:gridCol w:w="793"/>
        <w:gridCol w:w="767"/>
        <w:gridCol w:w="6662"/>
        <w:gridCol w:w="851"/>
        <w:gridCol w:w="924"/>
      </w:tblGrid>
      <w:tr>
        <w:tblPrEx>
          <w:tblCellMar>
            <w:top w:w="0" w:type="dxa"/>
            <w:left w:w="108" w:type="dxa"/>
            <w:bottom w:w="0" w:type="dxa"/>
            <w:right w:w="108" w:type="dxa"/>
          </w:tblCellMar>
        </w:tblPrEx>
        <w:trPr>
          <w:trHeight w:val="90" w:hRule="atLeast"/>
          <w:jc w:val="right"/>
        </w:trPr>
        <w:tc>
          <w:tcPr>
            <w:tcW w:w="793" w:type="dxa"/>
            <w:tcBorders>
              <w:top w:val="single" w:color="auto" w:sz="4" w:space="0"/>
              <w:left w:val="single" w:color="auto" w:sz="4" w:space="0"/>
              <w:bottom w:val="single" w:color="auto" w:sz="4" w:space="0"/>
              <w:right w:val="single" w:color="auto" w:sz="4" w:space="0"/>
            </w:tcBorders>
            <w:noWrap w:val="0"/>
            <w:vAlign w:val="center"/>
          </w:tcPr>
          <w:p>
            <w:pPr>
              <w:widowControl/>
              <w:rPr>
                <w:rFonts w:ascii="宋体" w:hAnsi="宋体" w:cs="宋体"/>
                <w:b/>
                <w:bCs/>
                <w:color w:val="auto"/>
                <w:kern w:val="0"/>
                <w:szCs w:val="21"/>
                <w:highlight w:val="none"/>
              </w:rPr>
            </w:pPr>
            <w:r>
              <w:rPr>
                <w:rFonts w:hint="eastAsia" w:ascii="宋体" w:hAnsi="宋体" w:cs="宋体"/>
                <w:b/>
                <w:bCs/>
                <w:color w:val="auto"/>
                <w:kern w:val="0"/>
                <w:szCs w:val="21"/>
                <w:highlight w:val="none"/>
              </w:rPr>
              <w:t>序号</w:t>
            </w:r>
          </w:p>
        </w:tc>
        <w:tc>
          <w:tcPr>
            <w:tcW w:w="767"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名称</w:t>
            </w:r>
          </w:p>
        </w:tc>
        <w:tc>
          <w:tcPr>
            <w:tcW w:w="6662"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技术规格</w:t>
            </w:r>
          </w:p>
        </w:tc>
        <w:tc>
          <w:tcPr>
            <w:tcW w:w="851"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单位</w:t>
            </w:r>
          </w:p>
        </w:tc>
        <w:tc>
          <w:tcPr>
            <w:tcW w:w="924"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数量</w:t>
            </w:r>
          </w:p>
        </w:tc>
      </w:tr>
      <w:tr>
        <w:tblPrEx>
          <w:tblCellMar>
            <w:top w:w="0" w:type="dxa"/>
            <w:left w:w="108" w:type="dxa"/>
            <w:bottom w:w="0" w:type="dxa"/>
            <w:right w:w="108" w:type="dxa"/>
          </w:tblCellMar>
        </w:tblPrEx>
        <w:trPr>
          <w:trHeight w:val="8190" w:hRule="atLeast"/>
          <w:jc w:val="right"/>
        </w:trPr>
        <w:tc>
          <w:tcPr>
            <w:tcW w:w="793"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1</w:t>
            </w:r>
          </w:p>
        </w:tc>
        <w:tc>
          <w:tcPr>
            <w:tcW w:w="767" w:type="dxa"/>
            <w:tcBorders>
              <w:top w:val="nil"/>
              <w:left w:val="nil"/>
              <w:bottom w:val="single" w:color="auto" w:sz="4" w:space="0"/>
              <w:right w:val="single" w:color="auto" w:sz="4" w:space="0"/>
            </w:tcBorders>
            <w:noWrap w:val="0"/>
            <w:vAlign w:val="center"/>
          </w:tcPr>
          <w:p>
            <w:pPr>
              <w:widowControl/>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 xml:space="preserve">基层管理移动平台 </w:t>
            </w:r>
          </w:p>
        </w:tc>
        <w:tc>
          <w:tcPr>
            <w:tcW w:w="6662"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1-1通讯录</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网格员及政府用户可便捷查找企业通讯录、个人通讯录以及常用联系人。</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1-2面上巡查</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面上巡查管理需要包含以下功能：</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提供面上巡查事件上报及处理，提供多种录入方式记录现场情况，</w:t>
            </w:r>
            <w:r>
              <w:rPr>
                <w:rFonts w:hint="eastAsia" w:ascii="宋体" w:hAnsi="宋体" w:cs="宋体"/>
                <w:color w:val="auto"/>
                <w:szCs w:val="21"/>
                <w:highlight w:val="none"/>
              </w:rPr>
              <w:t>采集的基础数据可以按照分类进行事件上报，并将数据提交至指挥中心。</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1-3场所巡查</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场所巡查需要包含以下功能：</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提供场所信息的管理功能,</w:t>
            </w:r>
            <w:r>
              <w:rPr>
                <w:rFonts w:hint="eastAsia" w:ascii="宋体" w:hAnsi="宋体" w:cs="宋体"/>
                <w:color w:val="auto"/>
                <w:szCs w:val="21"/>
                <w:highlight w:val="none"/>
              </w:rPr>
              <w:t xml:space="preserve"> 实现场所巡查事件上报</w:t>
            </w:r>
            <w:r>
              <w:rPr>
                <w:rFonts w:hint="eastAsia" w:ascii="宋体" w:hAnsi="宋体" w:cs="宋体"/>
                <w:color w:val="auto"/>
                <w:kern w:val="0"/>
                <w:szCs w:val="21"/>
                <w:highlight w:val="none"/>
              </w:rPr>
              <w:t>，可根据权限设定网格员可巡查管辖范围内的各类场所</w:t>
            </w:r>
            <w:r>
              <w:rPr>
                <w:rFonts w:hint="eastAsia" w:ascii="宋体" w:hAnsi="宋体" w:cs="宋体"/>
                <w:color w:val="auto"/>
                <w:szCs w:val="21"/>
                <w:highlight w:val="none"/>
              </w:rPr>
              <w:t>，上报事件限制距离避免办公室执法，系统能够根据常规所类型自动匹配管理巡查项，提交至指挥中心处理</w:t>
            </w:r>
            <w:r>
              <w:rPr>
                <w:rFonts w:hint="eastAsia" w:ascii="宋体" w:hAnsi="宋体" w:cs="宋体"/>
                <w:color w:val="auto"/>
                <w:kern w:val="0"/>
                <w:szCs w:val="21"/>
                <w:highlight w:val="none"/>
              </w:rPr>
              <w:t>。</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提供巡查功能，系统自动匹配管理巡查项，数据提交至指挥中心处理，指挥中心可手动派发至相应科室部门处理，支持根据设定类型自动派发至相应科室部门部门，处置后的事件由网格员再次确认闭环。</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提供场所认领功能，系统所有新增的场所可由网格员点击场所后可以认领场所到自己网格，支持批量认领业务，同时支持场所合并。</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网格员可在巡查地图中查看场所位置。可查看该场所的历史巡查记录。可查看网格内巡查基本情况及不合格事件处理情况。</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1-</w:t>
            </w:r>
            <w:r>
              <w:rPr>
                <w:rFonts w:ascii="宋体" w:hAnsi="宋体" w:cs="宋体"/>
                <w:color w:val="auto"/>
                <w:kern w:val="0"/>
                <w:szCs w:val="21"/>
                <w:highlight w:val="none"/>
              </w:rPr>
              <w:t>4</w:t>
            </w:r>
            <w:r>
              <w:rPr>
                <w:rFonts w:hint="eastAsia" w:ascii="宋体" w:hAnsi="宋体" w:cs="宋体"/>
                <w:color w:val="auto"/>
                <w:kern w:val="0"/>
                <w:szCs w:val="21"/>
                <w:highlight w:val="none"/>
              </w:rPr>
              <w:t>任务管理</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各个角色在这里可以快速处理自己的任务、查看事件进展处理历史，便于用户快速定位自己工作情况。</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1-</w:t>
            </w:r>
            <w:r>
              <w:rPr>
                <w:rFonts w:ascii="宋体" w:hAnsi="宋体" w:cs="宋体"/>
                <w:color w:val="auto"/>
                <w:kern w:val="0"/>
                <w:szCs w:val="21"/>
                <w:highlight w:val="none"/>
              </w:rPr>
              <w:t>5</w:t>
            </w:r>
            <w:r>
              <w:rPr>
                <w:rFonts w:hint="eastAsia" w:ascii="宋体" w:hAnsi="宋体" w:cs="宋体"/>
                <w:color w:val="auto"/>
                <w:kern w:val="0"/>
                <w:szCs w:val="21"/>
                <w:highlight w:val="none"/>
              </w:rPr>
              <w:t>考核评定</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平台可按照要求定制开发各类统计考核报表，协助完成针对网格员及各乡镇/街道的属地化考核工作，可</w:t>
            </w:r>
            <w:r>
              <w:rPr>
                <w:rFonts w:hint="eastAsia" w:ascii="宋体" w:hAnsi="宋体" w:cs="宋体"/>
                <w:color w:val="auto"/>
                <w:szCs w:val="21"/>
                <w:highlight w:val="none"/>
              </w:rPr>
              <w:t>按月份统计该月事件上报、处理以及场所巡查情况。</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1-</w:t>
            </w:r>
            <w:r>
              <w:rPr>
                <w:rFonts w:ascii="宋体" w:hAnsi="宋体" w:cs="宋体"/>
                <w:color w:val="auto"/>
                <w:kern w:val="0"/>
                <w:szCs w:val="21"/>
                <w:highlight w:val="none"/>
              </w:rPr>
              <w:t>6</w:t>
            </w:r>
            <w:r>
              <w:rPr>
                <w:rFonts w:hint="eastAsia" w:ascii="宋体" w:hAnsi="宋体" w:cs="宋体"/>
                <w:color w:val="auto"/>
                <w:kern w:val="0"/>
                <w:szCs w:val="21"/>
                <w:highlight w:val="none"/>
              </w:rPr>
              <w:t>通知公告</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用户通过通知公告，可查看管理员以及领导发布的通知、文书、重要文件等内容。</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套</w:t>
            </w:r>
          </w:p>
        </w:tc>
        <w:tc>
          <w:tcPr>
            <w:tcW w:w="924" w:type="dxa"/>
            <w:tcBorders>
              <w:top w:val="nil"/>
              <w:left w:val="nil"/>
              <w:bottom w:val="single" w:color="auto" w:sz="4" w:space="0"/>
              <w:right w:val="single" w:color="auto" w:sz="4" w:space="0"/>
            </w:tcBorders>
            <w:noWrap w:val="0"/>
            <w:vAlign w:val="center"/>
          </w:tcPr>
          <w:p>
            <w:pPr>
              <w:widowControl/>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1</w:t>
            </w:r>
          </w:p>
        </w:tc>
      </w:tr>
      <w:tr>
        <w:tblPrEx>
          <w:tblCellMar>
            <w:top w:w="0" w:type="dxa"/>
            <w:left w:w="108" w:type="dxa"/>
            <w:bottom w:w="0" w:type="dxa"/>
            <w:right w:w="108" w:type="dxa"/>
          </w:tblCellMar>
        </w:tblPrEx>
        <w:trPr>
          <w:trHeight w:val="3405" w:hRule="atLeast"/>
          <w:jc w:val="right"/>
        </w:trPr>
        <w:tc>
          <w:tcPr>
            <w:tcW w:w="793"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2</w:t>
            </w:r>
          </w:p>
        </w:tc>
        <w:tc>
          <w:tcPr>
            <w:tcW w:w="767" w:type="dxa"/>
            <w:tcBorders>
              <w:top w:val="nil"/>
              <w:left w:val="nil"/>
              <w:bottom w:val="single" w:color="auto" w:sz="4" w:space="0"/>
              <w:right w:val="single" w:color="auto" w:sz="4" w:space="0"/>
            </w:tcBorders>
            <w:noWrap w:val="0"/>
            <w:vAlign w:val="center"/>
          </w:tcPr>
          <w:p>
            <w:pPr>
              <w:widowControl/>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基层管理工作平台</w:t>
            </w:r>
          </w:p>
        </w:tc>
        <w:tc>
          <w:tcPr>
            <w:tcW w:w="666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Cs w:val="21"/>
                <w:highlight w:val="none"/>
              </w:rPr>
            </w:pPr>
            <w:r>
              <w:rPr>
                <w:rFonts w:hint="eastAsia" w:ascii="宋体" w:hAnsi="宋体" w:cs="宋体"/>
                <w:color w:val="auto"/>
                <w:kern w:val="0"/>
                <w:szCs w:val="21"/>
                <w:highlight w:val="none"/>
              </w:rPr>
              <w:t>2-1 综合指挥中心</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综合指挥平台实现预警预测、数据挖掘、综合指挥、业务调度等功能，为县乡各级领导动态实时把握基层总体情况、了解基层焦点问题走向、科学决策指挥提供信息化平台支撑。</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指挥中心：支持巡查事件管理、区县中心待办、巡查场所统计、场所异常处理、待受理事件管理、待办事件管理、待阅事件管理功能；可</w:t>
            </w:r>
            <w:r>
              <w:rPr>
                <w:rFonts w:hint="eastAsia" w:ascii="宋体" w:hAnsi="宋体" w:cs="宋体"/>
                <w:color w:val="auto"/>
                <w:szCs w:val="21"/>
                <w:highlight w:val="none"/>
              </w:rPr>
              <w:t>查看上报提交的事件和巡查详情，并对事件处理。同时提供按不同维度的查询功能</w:t>
            </w:r>
            <w:r>
              <w:rPr>
                <w:rFonts w:hint="eastAsia" w:ascii="宋体" w:hAnsi="宋体" w:cs="宋体"/>
                <w:color w:val="auto"/>
                <w:kern w:val="0"/>
                <w:szCs w:val="21"/>
                <w:highlight w:val="none"/>
              </w:rPr>
              <w:t>。</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综合监管地图：支持地图基础管理、巡查人员管理、网格员考核、事件管理、网格员工作清单、场所地图、网格地图功能。</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网格员考核：支持工作量统计、考勤时间设置、考勤记录查询、工作考核记录功能。</w:t>
            </w:r>
          </w:p>
          <w:p>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事件闭环流程：移动端上报的事件</w:t>
            </w:r>
            <w:r>
              <w:rPr>
                <w:rFonts w:hint="eastAsia" w:ascii="宋体" w:hAnsi="宋体" w:cs="宋体"/>
                <w:color w:val="auto"/>
                <w:szCs w:val="21"/>
                <w:highlight w:val="none"/>
              </w:rPr>
              <w:t>可根据上报条线自动派发到对应科室部门，部门人员可以将事件处理同时也可以转派至其他科室联合处置，处置后的事件由网格员再次确认闭环。</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综合信息大屏：支持综合信息大屏展示。统计今日上报数、合格率、不合格趋势、实时巡查事件等信息。</w:t>
            </w:r>
          </w:p>
          <w:p>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非现场执：非现场执法功能通过与iot平台数据对接，用户可在此看到占到经营等非现场执法数据等内容。</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2-2 数据分析</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基于基层平台的各类基础数据、专题业务数据，围绕宏观情况、事件分析、办件分析、业务专题、量化考核等方面进行统计分析，为基层平台提供一个集约化、动态化、多维分析的数据分析系统。具体包括：</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一是实现对“基层平台”运行宏观情况的分析展现，包括基层协同部门、基层单位数据上报、更新、业务流转情况，人口、场所信息等基础数据情况，“基层平台”业务运行情况。</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二是实现对“基层平台”事件数据及流程的分析展现，包括事件总量、处理情况、全流程分析、事件类型分布等基础展现。</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三是实现对“基层平台”办件数据及流程的分析展现，包括办件总量、来源情况、处理情况、业务类型分布情况等基础展现，以及热点办件、难点办件等分析展现。</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四是实现对“基层平台”运行相关各级部门、各基层单位的量化考核、排名统计。</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五是实现对基层平台数据、业务方面多维度统计分析，主要包括：</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1.支持基层事件、办件办理情况按区划维度统计，包括各县乡村事件、办件的办理总量、办理时间、流程环节的汇总统计，以及各街道排名对比等。</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2.支持基层事件、办件情况按流转部门维度统计，包括事件、办件办理量、办理效能、评价反馈按照部门条线排名统计。</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3.支持基层高频事件、办件情况统计分析，根据办理量实现高频事件、办件事项的排名统计，同步显示高频事件的办理量。</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2-4 场所管理</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场所管理提供对场所基本信息管理功能，支持对场所的增删改查及导入功能，并根据登录人权限显示数据。支持同当地区县工商部门场所数据的对接同步。提供对场所分类、巡查分类、专业分类以及巡查条目的维护功能，并建立相互之间的对应关系。</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套</w:t>
            </w:r>
          </w:p>
        </w:tc>
        <w:tc>
          <w:tcPr>
            <w:tcW w:w="924"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r>
      <w:tr>
        <w:tblPrEx>
          <w:tblCellMar>
            <w:top w:w="0" w:type="dxa"/>
            <w:left w:w="108" w:type="dxa"/>
            <w:bottom w:w="0" w:type="dxa"/>
            <w:right w:w="108" w:type="dxa"/>
          </w:tblCellMar>
        </w:tblPrEx>
        <w:trPr>
          <w:trHeight w:val="3638" w:hRule="atLeast"/>
          <w:jc w:val="right"/>
        </w:trPr>
        <w:tc>
          <w:tcPr>
            <w:tcW w:w="793"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3</w:t>
            </w:r>
          </w:p>
        </w:tc>
        <w:tc>
          <w:tcPr>
            <w:tcW w:w="767" w:type="dxa"/>
            <w:tcBorders>
              <w:top w:val="nil"/>
              <w:left w:val="nil"/>
              <w:bottom w:val="single" w:color="auto" w:sz="4" w:space="0"/>
              <w:right w:val="single" w:color="auto" w:sz="4" w:space="0"/>
            </w:tcBorders>
            <w:noWrap w:val="0"/>
            <w:vAlign w:val="center"/>
          </w:tcPr>
          <w:p>
            <w:pPr>
              <w:widowControl/>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基层管理大数据平台</w:t>
            </w:r>
          </w:p>
        </w:tc>
        <w:tc>
          <w:tcPr>
            <w:tcW w:w="6662"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3-1 大数据管理中心</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具有系统权限的用户进入平台后，平台展示概要信息，如数据采集情况、数据处理情况、数据管理情况、数据服务等，包括修改密码、查看用户信息、关于我们、退出等。</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3-2 数据采集</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1、采集分类管理类：对数据采集模块中建设的模型表单实现分类管理。</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2、离线采集类型管理：用于在采集分类下创建采集模型类型</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3、离线采集任务监控：对采集数据实时监控，对任务总数，任务成功总数，任务失败总数进项统计监控</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4、数据服务采集清单：采集人通过数据采集功能，将数据采集录入系统中</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5、服务采集任务管理：根据分类管理，显示服务任务信息</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6、服务采集任务监控：通过此功能监控采集任务进行状态，查询采集任务数据</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3-3 数据处理</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1、数据清洗转换：包括；对抽取数据，转换数据，匹配数据，进行可操作性的控制；对数据转换任务进行分类，便于对任务的操作，规划；通过对数据的监控，保证数据的健康运行，对数据平稳的进行处理</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2、数据比对匹配：包括通过对数据源进行分类配置，达到分类管理的目的；通过数据比对方式的管理，可以在页面上对数据比对的方式进行管理；通过建立数据任务，可达到制定标准数据的目的；通过一站式匹配，系统可以根据需要，自动匹配数据；显示一站式匹配的匹配具体数据统计。</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3-4 数据资源目录</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1、数据资源分类：数据资源分类是对数据资源按照各个维度进行分类管理，实现对数据资源的行业化、标准化的数据维度划分和数据管理</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2、数据资源目录：主要通过可视化的配置实现对数据资源目录中的数据资源做可视化的配置操作，主要功能包括新增资源目录、新增分类、可视化的建表工具以及数据浏览等。</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3、数据资源查询：结合信息资源目录的管理，对数据表和数据项进行管理，方便数据应用人员快速检索和了解数据项的说明，从而可以提供数据方便、快捷的应用到数据分析、决策。</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4、数据资源统计：实现信息资源按业务环节、表证单书、信息类、数据源进行分类统计,并且可以点击查看具体数据信息。结合数据资源数据项的管理和信息资源目录的管理对数据资源信息进行分析。</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3-5 ETL系统工具</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1、ETL类型管理：用于创建、编辑、删除ETL类型</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2、ETL服务管理：用于创建、编辑、删除ETL服务</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3、ETL设计：根据处理数据业务要求的不同对ETL服务信息进行设计，以达到数据抽取、数据转换及数据加载的要求，另外根据ETL类型的不同可设置是否调用Java接口和调度信息。</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4、ETL监控管理：用于对ETL引擎以及ETL执行过程进行监控，为管理员定期维护提供依据</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3-6 系统权限管理</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对组织机构、组织用户、用户机构岗位及用户岗位进行维护及配置。</w:t>
            </w:r>
            <w:r>
              <w:rPr>
                <w:rFonts w:hint="eastAsia" w:ascii="Times New Roman" w:hAnsi="Times New Roman"/>
                <w:color w:val="auto"/>
                <w:highlight w:val="none"/>
              </w:rPr>
              <w:t xml:space="preserve"> </w:t>
            </w:r>
          </w:p>
        </w:tc>
        <w:tc>
          <w:tcPr>
            <w:tcW w:w="85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套</w:t>
            </w:r>
          </w:p>
        </w:tc>
        <w:tc>
          <w:tcPr>
            <w:tcW w:w="924"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r>
    </w:tbl>
    <w:p>
      <w:pPr>
        <w:snapToGrid w:val="0"/>
        <w:spacing w:line="440" w:lineRule="exact"/>
        <w:rPr>
          <w:rFonts w:hint="eastAsia"/>
          <w:color w:val="auto"/>
          <w:szCs w:val="21"/>
        </w:rPr>
      </w:pPr>
    </w:p>
    <w:p>
      <w:pPr>
        <w:widowControl/>
        <w:numPr>
          <w:ilvl w:val="3"/>
          <w:numId w:val="1"/>
        </w:numPr>
        <w:adjustRightInd w:val="0"/>
        <w:snapToGrid w:val="0"/>
        <w:spacing w:line="440" w:lineRule="exact"/>
        <w:rPr>
          <w:rFonts w:hint="eastAsia" w:ascii="宋体" w:hAnsi="宋体"/>
          <w:b/>
          <w:color w:val="auto"/>
          <w:kern w:val="0"/>
          <w:sz w:val="32"/>
          <w:szCs w:val="32"/>
        </w:rPr>
      </w:pPr>
      <w:r>
        <w:rPr>
          <w:rFonts w:hint="eastAsia" w:ascii="宋体" w:hAnsi="宋体"/>
          <w:b/>
          <w:color w:val="auto"/>
          <w:kern w:val="0"/>
          <w:sz w:val="32"/>
          <w:szCs w:val="32"/>
        </w:rPr>
        <w:t>需要落实的政府采购政策</w:t>
      </w:r>
    </w:p>
    <w:p>
      <w:pPr>
        <w:numPr>
          <w:ilvl w:val="1"/>
          <w:numId w:val="4"/>
        </w:numPr>
        <w:snapToGrid w:val="0"/>
        <w:spacing w:line="440" w:lineRule="exact"/>
        <w:ind w:firstLine="562" w:firstLineChars="200"/>
        <w:rPr>
          <w:rFonts w:hint="eastAsia" w:ascii="仿宋" w:hAnsi="仿宋" w:eastAsia="仿宋" w:cs="仿宋"/>
          <w:b/>
          <w:bCs/>
          <w:color w:val="auto"/>
          <w:sz w:val="28"/>
          <w:szCs w:val="28"/>
        </w:rPr>
      </w:pPr>
      <w:r>
        <w:rPr>
          <w:rFonts w:hint="eastAsia" w:ascii="仿宋" w:hAnsi="仿宋" w:eastAsia="仿宋" w:cs="仿宋"/>
          <w:b/>
          <w:bCs/>
          <w:color w:val="auto"/>
          <w:sz w:val="28"/>
          <w:szCs w:val="28"/>
        </w:rPr>
        <w:t>促进中小企业、监狱企业和残疾人福利性单位发展扶持政策</w:t>
      </w:r>
    </w:p>
    <w:p>
      <w:pPr>
        <w:numPr>
          <w:ilvl w:val="2"/>
          <w:numId w:val="5"/>
        </w:numPr>
        <w:spacing w:line="440" w:lineRule="exact"/>
        <w:ind w:firstLine="420" w:firstLineChars="200"/>
        <w:rPr>
          <w:rFonts w:hint="eastAsia" w:ascii="宋体" w:hAnsi="宋体" w:cs="宋体"/>
          <w:bCs/>
          <w:color w:val="auto"/>
          <w:szCs w:val="21"/>
        </w:rPr>
      </w:pPr>
      <w:r>
        <w:rPr>
          <w:rFonts w:hint="eastAsia" w:ascii="宋体" w:hAnsi="宋体" w:cs="宋体"/>
          <w:bCs/>
          <w:color w:val="auto"/>
          <w:szCs w:val="21"/>
        </w:rPr>
        <w:t>小型和微型企业认定：</w:t>
      </w:r>
    </w:p>
    <w:p>
      <w:pPr>
        <w:numPr>
          <w:ilvl w:val="0"/>
          <w:numId w:val="6"/>
        </w:numPr>
        <w:spacing w:line="440" w:lineRule="exact"/>
        <w:ind w:firstLine="420" w:firstLineChars="200"/>
        <w:rPr>
          <w:rFonts w:hint="eastAsia" w:ascii="宋体" w:hAnsi="宋体" w:cs="宋体"/>
          <w:bCs/>
          <w:color w:val="auto"/>
          <w:szCs w:val="21"/>
        </w:rPr>
      </w:pPr>
      <w:r>
        <w:rPr>
          <w:rFonts w:hint="eastAsia" w:ascii="宋体" w:hAnsi="宋体" w:cs="宋体"/>
          <w:bCs/>
          <w:color w:val="auto"/>
          <w:szCs w:val="21"/>
        </w:rPr>
        <w:t>提供本企业制造的货物、承担的工程或服务的，或者提供其他小型或者微型企业制造的货物的；</w:t>
      </w:r>
    </w:p>
    <w:p>
      <w:pPr>
        <w:numPr>
          <w:ilvl w:val="0"/>
          <w:numId w:val="6"/>
        </w:numPr>
        <w:spacing w:line="440" w:lineRule="exact"/>
        <w:ind w:firstLine="420" w:firstLineChars="200"/>
        <w:rPr>
          <w:rFonts w:hint="eastAsia" w:ascii="宋体" w:hAnsi="宋体" w:cs="宋体"/>
          <w:bCs/>
          <w:color w:val="auto"/>
          <w:szCs w:val="21"/>
        </w:rPr>
      </w:pPr>
      <w:r>
        <w:rPr>
          <w:rFonts w:hint="eastAsia" w:ascii="宋体" w:hAnsi="宋体" w:cs="宋体"/>
          <w:bCs/>
          <w:color w:val="auto"/>
          <w:szCs w:val="21"/>
        </w:rPr>
        <w:t>提供由供应商企业所在地的县级及以上中小企业主管部门出具的</w:t>
      </w:r>
      <w:r>
        <w:rPr>
          <w:rFonts w:hint="eastAsia" w:ascii="宋体" w:hAnsi="宋体" w:cs="宋体"/>
          <w:bCs/>
          <w:color w:val="auto"/>
          <w:szCs w:val="21"/>
          <w:lang w:eastAsia="zh-CN"/>
        </w:rPr>
        <w:t>中小企业认定的证明材料</w:t>
      </w:r>
      <w:r>
        <w:rPr>
          <w:rFonts w:hint="eastAsia" w:ascii="宋体" w:hAnsi="宋体" w:cs="宋体"/>
          <w:bCs/>
          <w:color w:val="auto"/>
          <w:szCs w:val="21"/>
        </w:rPr>
        <w:t>（</w:t>
      </w:r>
      <w:r>
        <w:rPr>
          <w:rFonts w:hint="eastAsia" w:ascii="宋体" w:hAnsi="宋体"/>
          <w:b/>
          <w:bCs/>
          <w:color w:val="auto"/>
          <w:kern w:val="0"/>
          <w:szCs w:val="21"/>
        </w:rPr>
        <w:t>投标文件商务、技术证明文件正本中提供复印件加盖投标人公章，副本中可为正本的复印件，</w:t>
      </w:r>
      <w:r>
        <w:rPr>
          <w:rFonts w:hint="eastAsia" w:ascii="宋体" w:hAnsi="宋体" w:cs="宋体"/>
          <w:b/>
          <w:bCs/>
          <w:color w:val="auto"/>
          <w:szCs w:val="21"/>
        </w:rPr>
        <w:t>原件核查）</w:t>
      </w:r>
      <w:r>
        <w:rPr>
          <w:rFonts w:hint="eastAsia" w:ascii="宋体" w:hAnsi="宋体" w:cs="宋体"/>
          <w:bCs/>
          <w:color w:val="auto"/>
          <w:szCs w:val="21"/>
        </w:rPr>
        <w:t>和中小企业声明函</w:t>
      </w:r>
      <w:r>
        <w:rPr>
          <w:rFonts w:hint="eastAsia" w:ascii="宋体" w:hAnsi="宋体" w:cs="宋体"/>
          <w:b/>
          <w:bCs/>
          <w:color w:val="auto"/>
          <w:szCs w:val="21"/>
        </w:rPr>
        <w:t>（原件附</w:t>
      </w:r>
      <w:r>
        <w:rPr>
          <w:rFonts w:hint="eastAsia" w:ascii="宋体" w:hAnsi="宋体"/>
          <w:b/>
          <w:bCs/>
          <w:color w:val="auto"/>
          <w:kern w:val="0"/>
          <w:szCs w:val="21"/>
        </w:rPr>
        <w:t>投标文件商务、技术证明文件正本中</w:t>
      </w:r>
      <w:r>
        <w:rPr>
          <w:rFonts w:hint="eastAsia" w:ascii="宋体" w:hAnsi="宋体" w:cs="宋体"/>
          <w:b/>
          <w:bCs/>
          <w:color w:val="auto"/>
          <w:szCs w:val="21"/>
        </w:rPr>
        <w:t>，副本可以为正本的复印件）</w:t>
      </w:r>
      <w:r>
        <w:rPr>
          <w:rFonts w:hint="eastAsia" w:ascii="宋体" w:hAnsi="宋体" w:cs="宋体"/>
          <w:bCs/>
          <w:color w:val="auto"/>
          <w:szCs w:val="21"/>
        </w:rPr>
        <w:t>；供应商提供其他企业制造的货物的除需提供本企业的</w:t>
      </w:r>
      <w:r>
        <w:rPr>
          <w:rFonts w:hint="eastAsia" w:ascii="宋体" w:hAnsi="宋体" w:cs="宋体"/>
          <w:bCs/>
          <w:color w:val="auto"/>
          <w:szCs w:val="21"/>
          <w:lang w:eastAsia="zh-CN"/>
        </w:rPr>
        <w:t>中小企业认定的证明材料</w:t>
      </w:r>
      <w:r>
        <w:rPr>
          <w:rFonts w:hint="eastAsia" w:ascii="宋体" w:hAnsi="宋体" w:cs="宋体"/>
          <w:bCs/>
          <w:color w:val="auto"/>
          <w:szCs w:val="21"/>
        </w:rPr>
        <w:t>和中小企业声明函外，还需提供其他企业所在地的县级及以上中小企业主管部门出具的</w:t>
      </w:r>
      <w:r>
        <w:rPr>
          <w:rFonts w:hint="eastAsia" w:ascii="宋体" w:hAnsi="宋体" w:cs="宋体"/>
          <w:bCs/>
          <w:color w:val="auto"/>
          <w:szCs w:val="21"/>
          <w:lang w:eastAsia="zh-CN"/>
        </w:rPr>
        <w:t>中小企业认定的证明材料</w:t>
      </w:r>
      <w:r>
        <w:rPr>
          <w:rFonts w:hint="eastAsia" w:ascii="宋体" w:hAnsi="宋体" w:cs="宋体"/>
          <w:bCs/>
          <w:color w:val="auto"/>
          <w:szCs w:val="21"/>
        </w:rPr>
        <w:t>（</w:t>
      </w:r>
      <w:r>
        <w:rPr>
          <w:rFonts w:hint="eastAsia" w:ascii="宋体" w:hAnsi="宋体"/>
          <w:b/>
          <w:bCs/>
          <w:color w:val="auto"/>
          <w:kern w:val="0"/>
          <w:szCs w:val="21"/>
        </w:rPr>
        <w:t>投标文件商务、技术证明文件正本中提供复印件加盖</w:t>
      </w:r>
      <w:r>
        <w:rPr>
          <w:rFonts w:hint="eastAsia" w:ascii="宋体" w:hAnsi="宋体"/>
          <w:b/>
          <w:bCs/>
          <w:color w:val="auto"/>
          <w:kern w:val="0"/>
          <w:szCs w:val="21"/>
          <w:lang w:eastAsia="zh-CN"/>
        </w:rPr>
        <w:t>生产厂家</w:t>
      </w:r>
      <w:r>
        <w:rPr>
          <w:rFonts w:hint="eastAsia" w:ascii="宋体" w:hAnsi="宋体"/>
          <w:b/>
          <w:bCs/>
          <w:color w:val="auto"/>
          <w:kern w:val="0"/>
          <w:szCs w:val="21"/>
        </w:rPr>
        <w:t>公章，副本中可为正本的复印件</w:t>
      </w:r>
      <w:r>
        <w:rPr>
          <w:rFonts w:hint="eastAsia" w:ascii="宋体" w:hAnsi="宋体" w:cs="宋体"/>
          <w:b/>
          <w:bCs/>
          <w:color w:val="auto"/>
          <w:szCs w:val="21"/>
        </w:rPr>
        <w:t>）</w:t>
      </w:r>
      <w:r>
        <w:rPr>
          <w:rFonts w:hint="eastAsia" w:ascii="宋体" w:hAnsi="宋体" w:cs="宋体"/>
          <w:bCs/>
          <w:color w:val="auto"/>
          <w:szCs w:val="21"/>
        </w:rPr>
        <w:t>和中小企业声明函</w:t>
      </w:r>
      <w:r>
        <w:rPr>
          <w:rFonts w:hint="eastAsia" w:ascii="宋体" w:hAnsi="宋体" w:cs="宋体"/>
          <w:b/>
          <w:bCs/>
          <w:color w:val="auto"/>
          <w:szCs w:val="21"/>
        </w:rPr>
        <w:t>（原件附</w:t>
      </w:r>
      <w:r>
        <w:rPr>
          <w:rFonts w:hint="eastAsia" w:ascii="宋体" w:hAnsi="宋体"/>
          <w:b/>
          <w:bCs/>
          <w:color w:val="auto"/>
          <w:kern w:val="0"/>
          <w:szCs w:val="21"/>
        </w:rPr>
        <w:t>投标文件商务、技术证明文件正本中</w:t>
      </w:r>
      <w:r>
        <w:rPr>
          <w:rFonts w:hint="eastAsia" w:ascii="宋体" w:hAnsi="宋体" w:cs="宋体"/>
          <w:b/>
          <w:bCs/>
          <w:color w:val="auto"/>
          <w:szCs w:val="21"/>
        </w:rPr>
        <w:t>，副本可以为正本的复印件）</w:t>
      </w:r>
      <w:r>
        <w:rPr>
          <w:rFonts w:hint="eastAsia" w:ascii="宋体" w:hAnsi="宋体" w:cs="宋体"/>
          <w:bCs/>
          <w:color w:val="auto"/>
          <w:szCs w:val="21"/>
        </w:rPr>
        <w:t>，否则不予承认。</w:t>
      </w:r>
    </w:p>
    <w:p>
      <w:pPr>
        <w:spacing w:line="440" w:lineRule="exact"/>
        <w:rPr>
          <w:rFonts w:hint="eastAsia" w:ascii="宋体" w:hAnsi="宋体" w:cs="宋体"/>
          <w:b/>
          <w:bCs/>
          <w:color w:val="auto"/>
          <w:szCs w:val="21"/>
        </w:rPr>
      </w:pPr>
      <w:r>
        <w:rPr>
          <w:rFonts w:hint="eastAsia" w:ascii="宋体" w:hAnsi="宋体" w:cs="宋体"/>
          <w:bCs/>
          <w:color w:val="auto"/>
          <w:szCs w:val="21"/>
        </w:rPr>
        <w:t>　　</w:t>
      </w:r>
      <w:r>
        <w:rPr>
          <w:rFonts w:hint="eastAsia" w:ascii="宋体" w:hAnsi="宋体" w:cs="宋体"/>
          <w:b/>
          <w:bCs/>
          <w:color w:val="auto"/>
          <w:szCs w:val="21"/>
        </w:rPr>
        <w:t>在评审的过程中，以上（1）和（2）同时成立，方可以认定为小型或微型企业并享受价格优惠。</w:t>
      </w:r>
    </w:p>
    <w:p>
      <w:pPr>
        <w:numPr>
          <w:ilvl w:val="2"/>
          <w:numId w:val="5"/>
        </w:numPr>
        <w:spacing w:line="440" w:lineRule="exact"/>
        <w:ind w:firstLine="420" w:firstLineChars="200"/>
        <w:rPr>
          <w:rFonts w:hint="eastAsia" w:ascii="宋体" w:hAnsi="宋体" w:cs="宋体"/>
          <w:bCs/>
          <w:color w:val="auto"/>
          <w:szCs w:val="21"/>
        </w:rPr>
      </w:pPr>
      <w:r>
        <w:rPr>
          <w:rFonts w:hint="eastAsia" w:ascii="宋体" w:hAnsi="宋体" w:cs="宋体"/>
          <w:bCs/>
          <w:color w:val="auto"/>
          <w:szCs w:val="21"/>
        </w:rPr>
        <w:t>根据财库〔2014〕68号《财政部 司法部关于政府采购支持监狱企业发展有关问题的通知》，监狱企业视同小微企业。提供由省级以上监狱管理局、戒毒管理局(含新疆生产建设兵团)出具的属于监狱企业的证明文件</w:t>
      </w:r>
      <w:r>
        <w:rPr>
          <w:rFonts w:hint="eastAsia" w:ascii="宋体" w:hAnsi="宋体" w:cs="宋体"/>
          <w:b/>
          <w:bCs/>
          <w:color w:val="auto"/>
          <w:szCs w:val="21"/>
        </w:rPr>
        <w:t>（投标文件商务、技术证明文件正本中提供复印件加盖投标人公章，副本中可为正本的复印件，原件核查）</w:t>
      </w:r>
      <w:r>
        <w:rPr>
          <w:rFonts w:hint="eastAsia" w:ascii="宋体" w:hAnsi="宋体" w:cs="宋体"/>
          <w:bCs/>
          <w:color w:val="auto"/>
          <w:szCs w:val="21"/>
        </w:rPr>
        <w:t>，不再提供《中小企业声明函》,供应商出具的监狱企业证明文件如有虚假，其成交资格将被取消，并根据相关规定进行处罚。</w:t>
      </w:r>
    </w:p>
    <w:p>
      <w:pPr>
        <w:numPr>
          <w:ilvl w:val="2"/>
          <w:numId w:val="5"/>
        </w:numPr>
        <w:spacing w:line="440" w:lineRule="exact"/>
        <w:ind w:firstLine="420" w:firstLineChars="200"/>
        <w:rPr>
          <w:rFonts w:hint="eastAsia" w:ascii="宋体" w:hAnsi="宋体" w:cs="宋体"/>
          <w:bCs/>
          <w:color w:val="auto"/>
          <w:szCs w:val="21"/>
        </w:rPr>
      </w:pPr>
      <w:r>
        <w:rPr>
          <w:rFonts w:hint="eastAsia" w:ascii="宋体" w:hAnsi="宋体" w:cs="宋体"/>
          <w:bCs/>
          <w:color w:val="auto"/>
          <w:szCs w:val="21"/>
        </w:rPr>
        <w:t>根据财库〔2017〕141号《三部门联合发布关于促进残疾人就业政府采购政策的通知》残疾人福利性单位视同小型、微型企业，残疾人福利性单位在参加政府采购活动时提供《残疾人福利性单位声明函》</w:t>
      </w:r>
      <w:r>
        <w:rPr>
          <w:rFonts w:hint="eastAsia" w:ascii="宋体" w:hAnsi="宋体" w:cs="宋体"/>
          <w:b/>
          <w:bCs/>
          <w:color w:val="auto"/>
          <w:szCs w:val="21"/>
        </w:rPr>
        <w:t>（原件附投标文件商务、技术证明文件正本中，副本可以为正本的复印件）</w:t>
      </w:r>
      <w:r>
        <w:rPr>
          <w:rFonts w:hint="eastAsia" w:ascii="宋体" w:hAnsi="宋体" w:cs="宋体"/>
          <w:bCs/>
          <w:color w:val="auto"/>
          <w:szCs w:val="21"/>
        </w:rPr>
        <w:t>，不再提供《中小企业声明函》，供应商在《残疾人福利性单位声明函》中的承诺如有虚假，其成交资格将被取消，并根据相关规定进行处罚。</w:t>
      </w:r>
    </w:p>
    <w:p>
      <w:pPr>
        <w:numPr>
          <w:ilvl w:val="0"/>
          <w:numId w:val="0"/>
        </w:numPr>
        <w:spacing w:line="440" w:lineRule="exact"/>
        <w:ind w:leftChars="200"/>
        <w:rPr>
          <w:rFonts w:hint="eastAsia" w:ascii="宋体" w:hAnsi="宋体" w:cs="宋体"/>
          <w:bCs/>
          <w:color w:val="auto"/>
          <w:szCs w:val="21"/>
        </w:rPr>
      </w:pPr>
      <w:r>
        <w:rPr>
          <w:rFonts w:hint="eastAsia" w:ascii="宋体" w:hAnsi="宋体" w:cs="宋体"/>
          <w:b/>
          <w:bCs/>
          <w:color w:val="auto"/>
          <w:szCs w:val="21"/>
        </w:rPr>
        <w:t>投标人同时为小型、微型企业、监狱企业、残疾人福利性单位任两种或以上情况的，评审中只享受一次价格扣除，不重复进行价格扣除。</w:t>
      </w:r>
    </w:p>
    <w:p>
      <w:pPr>
        <w:numPr>
          <w:ilvl w:val="1"/>
          <w:numId w:val="4"/>
        </w:numPr>
        <w:snapToGrid w:val="0"/>
        <w:spacing w:line="440" w:lineRule="exact"/>
        <w:ind w:firstLine="562" w:firstLineChars="200"/>
        <w:rPr>
          <w:rFonts w:hint="eastAsia" w:ascii="仿宋" w:hAnsi="仿宋" w:eastAsia="仿宋" w:cs="仿宋"/>
          <w:b/>
          <w:bCs/>
          <w:color w:val="auto"/>
          <w:sz w:val="28"/>
          <w:szCs w:val="28"/>
        </w:rPr>
      </w:pPr>
      <w:r>
        <w:rPr>
          <w:rFonts w:hint="eastAsia" w:ascii="仿宋" w:hAnsi="仿宋" w:eastAsia="仿宋" w:cs="仿宋"/>
          <w:b/>
          <w:bCs/>
          <w:color w:val="auto"/>
          <w:sz w:val="28"/>
          <w:szCs w:val="28"/>
        </w:rPr>
        <w:t>信息安全产品</w:t>
      </w:r>
    </w:p>
    <w:p>
      <w:pPr>
        <w:tabs>
          <w:tab w:val="left" w:pos="720"/>
        </w:tabs>
        <w:snapToGrid w:val="0"/>
        <w:spacing w:line="440" w:lineRule="exact"/>
        <w:ind w:firstLine="420" w:firstLineChars="200"/>
        <w:rPr>
          <w:rFonts w:hint="eastAsia"/>
          <w:color w:val="auto"/>
        </w:rPr>
      </w:pPr>
      <w:r>
        <w:rPr>
          <w:rFonts w:hint="eastAsia" w:ascii="宋体" w:hAnsi="宋体" w:cs="宋体"/>
          <w:bCs/>
          <w:color w:val="auto"/>
          <w:szCs w:val="21"/>
        </w:rPr>
        <w:t>根据《财政部 工业和信息化部 国家质检总局 国家认监委关于信息安全产品实施政府采购的通知》财库〔2010〕48号文件要求，本次采购产品如有信息安全产品的，需提供由中国信息安全认证中心按国家标准认证颁发的有效认证证书</w:t>
      </w:r>
      <w:r>
        <w:rPr>
          <w:rFonts w:hint="eastAsia" w:ascii="宋体" w:hAnsi="宋体"/>
          <w:b/>
          <w:bCs/>
          <w:color w:val="auto"/>
          <w:kern w:val="0"/>
          <w:szCs w:val="21"/>
        </w:rPr>
        <w:t>（投标文件商务、技术证明文件正本中提供复印件加盖投标人公章，副本中可为正本的复印件）</w:t>
      </w:r>
      <w:r>
        <w:rPr>
          <w:rFonts w:hint="eastAsia" w:ascii="宋体"/>
          <w:color w:val="auto"/>
          <w:sz w:val="24"/>
        </w:rPr>
        <w:t>。</w:t>
      </w:r>
    </w:p>
    <w:p/>
    <w:sectPr>
      <w:pgSz w:w="11906" w:h="16838"/>
      <w:pgMar w:top="1134" w:right="1134" w:bottom="1134"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ook Antiqua">
    <w:altName w:val="Segoe Print"/>
    <w:panose1 w:val="02040602050305030304"/>
    <w:charset w:val="00"/>
    <w:family w:val="roman"/>
    <w:pitch w:val="default"/>
    <w:sig w:usb0="00000000" w:usb1="00000000" w:usb2="00000000" w:usb3="00000000" w:csb0="2000009F" w:csb1="DFD7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lvl w:ilvl="0" w:tentative="0">
      <w:start w:val="1"/>
      <w:numFmt w:val="decimal"/>
      <w:lvlText w:val="%1."/>
      <w:lvlJc w:val="left"/>
      <w:pPr>
        <w:ind w:left="845" w:hanging="420"/>
      </w:pPr>
      <w:rPr>
        <w:rFonts w:hint="eastAsia"/>
      </w:rPr>
    </w:lvl>
    <w:lvl w:ilvl="1" w:tentative="0">
      <w:start w:val="1"/>
      <w:numFmt w:val="lowerLetter"/>
      <w:lvlText w:val="%2)"/>
      <w:lvlJc w:val="left"/>
      <w:pPr>
        <w:ind w:left="1265"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1">
    <w:nsid w:val="0000000D"/>
    <w:multiLevelType w:val="multilevel"/>
    <w:tmpl w:val="0000000D"/>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japaneseCounting"/>
      <w:lvlText w:val="%4、"/>
      <w:lvlJc w:val="left"/>
      <w:pPr>
        <w:ind w:left="0" w:firstLine="0"/>
      </w:pPr>
      <w:rPr>
        <w:rFonts w:hint="default"/>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000001E"/>
    <w:multiLevelType w:val="multilevel"/>
    <w:tmpl w:val="0000001E"/>
    <w:lvl w:ilvl="0" w:tentative="0">
      <w:start w:val="1"/>
      <w:numFmt w:val="chineseCountingThousand"/>
      <w:lvlText w:val="(%1)"/>
      <w:lvlJc w:val="left"/>
      <w:pPr>
        <w:ind w:left="982" w:hanging="420"/>
      </w:pPr>
    </w:lvl>
    <w:lvl w:ilvl="1" w:tentative="0">
      <w:start w:val="1"/>
      <w:numFmt w:val="chineseCountingThousand"/>
      <w:suff w:val="nothing"/>
      <w:lvlText w:val="(%2)"/>
      <w:lvlJc w:val="left"/>
      <w:pPr>
        <w:ind w:left="0" w:firstLine="0"/>
      </w:pPr>
      <w:rPr>
        <w:rFonts w:hint="eastAsia"/>
      </w:r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3">
    <w:nsid w:val="0000002A"/>
    <w:multiLevelType w:val="multilevel"/>
    <w:tmpl w:val="0000002A"/>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
    <w:nsid w:val="00000039"/>
    <w:multiLevelType w:val="multilevel"/>
    <w:tmpl w:val="00000039"/>
    <w:lvl w:ilvl="0" w:tentative="0">
      <w:start w:val="1"/>
      <w:numFmt w:val="decimal"/>
      <w:lvlText w:val="%1."/>
      <w:lvlJc w:val="left"/>
      <w:pPr>
        <w:ind w:left="840" w:hanging="420"/>
      </w:pPr>
      <w:rPr>
        <w:rFonts w:hint="eastAsia"/>
      </w:rPr>
    </w:lvl>
    <w:lvl w:ilvl="1" w:tentative="0">
      <w:start w:val="1"/>
      <w:numFmt w:val="japaneseCounting"/>
      <w:lvlText w:val="（%2）"/>
      <w:lvlJc w:val="left"/>
      <w:pPr>
        <w:ind w:left="1725" w:hanging="885"/>
      </w:pPr>
      <w:rPr>
        <w:rFonts w:hint="default"/>
      </w:rPr>
    </w:lvl>
    <w:lvl w:ilvl="2" w:tentative="0">
      <w:start w:val="1"/>
      <w:numFmt w:val="decimal"/>
      <w:suff w:val="nothing"/>
      <w:lvlText w:val="%3."/>
      <w:lvlJc w:val="left"/>
      <w:pPr>
        <w:ind w:left="142"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00000040"/>
    <w:multiLevelType w:val="multilevel"/>
    <w:tmpl w:val="00000040"/>
    <w:lvl w:ilvl="0" w:tentative="0">
      <w:start w:val="1"/>
      <w:numFmt w:val="decimal"/>
      <w:suff w:val="nothing"/>
      <w:lvlText w:val="（%1）"/>
      <w:lvlJc w:val="left"/>
      <w:pPr>
        <w:ind w:left="0" w:firstLine="0"/>
      </w:pPr>
      <w:rPr>
        <w:rFonts w:hint="default"/>
      </w:rPr>
    </w:lvl>
    <w:lvl w:ilvl="1" w:tentative="0">
      <w:start w:val="1"/>
      <w:numFmt w:val="lowerLetter"/>
      <w:lvlText w:val="%2)"/>
      <w:lvlJc w:val="left"/>
      <w:pPr>
        <w:ind w:left="1264" w:hanging="420"/>
      </w:pPr>
    </w:lvl>
    <w:lvl w:ilvl="2" w:tentative="0">
      <w:start w:val="1"/>
      <w:numFmt w:val="lowerRoman"/>
      <w:lvlText w:val="%3."/>
      <w:lvlJc w:val="right"/>
      <w:pPr>
        <w:ind w:left="1684" w:hanging="420"/>
      </w:pPr>
    </w:lvl>
    <w:lvl w:ilvl="3" w:tentative="0">
      <w:start w:val="1"/>
      <w:numFmt w:val="decimal"/>
      <w:lvlText w:val="%4."/>
      <w:lvlJc w:val="left"/>
      <w:pPr>
        <w:ind w:left="2104" w:hanging="420"/>
      </w:pPr>
    </w:lvl>
    <w:lvl w:ilvl="4" w:tentative="0">
      <w:start w:val="1"/>
      <w:numFmt w:val="lowerLetter"/>
      <w:lvlText w:val="%5)"/>
      <w:lvlJc w:val="left"/>
      <w:pPr>
        <w:ind w:left="2524" w:hanging="420"/>
      </w:pPr>
    </w:lvl>
    <w:lvl w:ilvl="5" w:tentative="0">
      <w:start w:val="1"/>
      <w:numFmt w:val="lowerRoman"/>
      <w:lvlText w:val="%6."/>
      <w:lvlJc w:val="right"/>
      <w:pPr>
        <w:ind w:left="2944" w:hanging="420"/>
      </w:pPr>
    </w:lvl>
    <w:lvl w:ilvl="6" w:tentative="0">
      <w:start w:val="1"/>
      <w:numFmt w:val="decimal"/>
      <w:lvlText w:val="%7."/>
      <w:lvlJc w:val="left"/>
      <w:pPr>
        <w:ind w:left="3364" w:hanging="420"/>
      </w:pPr>
    </w:lvl>
    <w:lvl w:ilvl="7" w:tentative="0">
      <w:start w:val="1"/>
      <w:numFmt w:val="lowerLetter"/>
      <w:lvlText w:val="%8)"/>
      <w:lvlJc w:val="left"/>
      <w:pPr>
        <w:ind w:left="3784" w:hanging="420"/>
      </w:pPr>
    </w:lvl>
    <w:lvl w:ilvl="8" w:tentative="0">
      <w:start w:val="1"/>
      <w:numFmt w:val="lowerRoman"/>
      <w:lvlText w:val="%9."/>
      <w:lvlJc w:val="right"/>
      <w:pPr>
        <w:ind w:left="4204" w:hanging="420"/>
      </w:pPr>
    </w:lvl>
  </w:abstractNum>
  <w:num w:numId="1">
    <w:abstractNumId w:val="1"/>
  </w:num>
  <w:num w:numId="2">
    <w:abstractNumId w:val="3"/>
  </w:num>
  <w:num w:numId="3">
    <w:abstractNumId w:val="4"/>
  </w:num>
  <w:num w:numId="4">
    <w:abstractNumId w:val="2"/>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15598F"/>
    <w:rsid w:val="511559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Book Antiqua" w:hAnsi="Book Antiqua" w:eastAsia="宋体" w:cs="Times New Roman"/>
      <w:kern w:val="2"/>
      <w:sz w:val="21"/>
      <w:szCs w:val="24"/>
      <w:lang w:val="en-US" w:eastAsia="zh-CN" w:bidi="ar-SA"/>
    </w:rPr>
  </w:style>
  <w:style w:type="paragraph" w:styleId="2">
    <w:name w:val="heading 4"/>
    <w:basedOn w:val="1"/>
    <w:next w:val="1"/>
    <w:qFormat/>
    <w:uiPriority w:val="0"/>
    <w:pPr>
      <w:keepNext/>
      <w:keepLines/>
      <w:spacing w:before="280" w:beforeLines="0" w:after="290" w:afterLines="0" w:line="376" w:lineRule="auto"/>
      <w:outlineLvl w:val="3"/>
    </w:pPr>
    <w:rPr>
      <w:rFonts w:ascii="Arial" w:hAnsi="Arial" w:eastAsia="黑体" w:cs="Times New Roman"/>
      <w:b/>
      <w:bCs/>
      <w:sz w:val="28"/>
      <w:szCs w:val="28"/>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Title"/>
    <w:basedOn w:val="1"/>
    <w:qFormat/>
    <w:uiPriority w:val="0"/>
    <w:pPr>
      <w:spacing w:before="240" w:beforeLines="0" w:after="60" w:afterLines="0"/>
      <w:jc w:val="center"/>
      <w:outlineLvl w:val="0"/>
    </w:pPr>
    <w:rPr>
      <w:rFonts w:ascii="Arial" w:hAnsi="Arial" w:eastAsia="宋体" w:cs="Arial"/>
      <w:b/>
      <w:bCs/>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2020-08-06T07:33:00Z</dcterms:created>
  <dc:creator>工程造价预算~张敬敬 13083839783</dc:creator>
  <cp:lastModifiedBy>工程造价预算~张敬敬 13083839783</cp:lastModifiedBy>
  <dcterms:modified xsi:type="dcterms:W3CDTF">2020-08-06T07:33:48Z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