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numPr>
          <w:ilvl w:val="0"/>
          <w:numId w:val="0"/>
        </w:numPr>
        <w:spacing w:line="480" w:lineRule="exact"/>
        <w:ind w:leftChars="0" w:right="-63" w:rightChars="-30"/>
        <w:jc w:val="center"/>
        <w:rPr>
          <w:rFonts w:hint="eastAsia" w:ascii="宋体" w:hAnsi="宋体" w:eastAsia="宋体" w:cs="宋体"/>
          <w:bCs w:val="0"/>
        </w:rPr>
      </w:pPr>
      <w:r>
        <w:rPr>
          <w:rFonts w:hint="eastAsia" w:ascii="宋体" w:hAnsi="宋体" w:eastAsia="宋体" w:cs="宋体"/>
          <w:bCs w:val="0"/>
        </w:rPr>
        <w:t>采购需求</w:t>
      </w:r>
    </w:p>
    <w:p>
      <w:pPr>
        <w:widowControl/>
        <w:numPr>
          <w:ilvl w:val="0"/>
          <w:numId w:val="0"/>
        </w:numPr>
        <w:adjustRightInd w:val="0"/>
        <w:snapToGrid w:val="0"/>
        <w:spacing w:line="360" w:lineRule="auto"/>
        <w:ind w:leftChars="0"/>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lang w:val="en-US" w:eastAsia="zh-CN"/>
        </w:rPr>
        <w:t>一、</w:t>
      </w:r>
      <w:r>
        <w:rPr>
          <w:rFonts w:hint="eastAsia" w:ascii="宋体" w:hAnsi="宋体" w:eastAsia="宋体" w:cs="宋体"/>
          <w:b/>
          <w:color w:val="000000"/>
          <w:kern w:val="0"/>
          <w:sz w:val="21"/>
          <w:szCs w:val="21"/>
        </w:rPr>
        <w:t>相关说明</w:t>
      </w:r>
    </w:p>
    <w:p>
      <w:pPr>
        <w:widowControl/>
        <w:numPr>
          <w:ilvl w:val="2"/>
          <w:numId w:val="1"/>
        </w:numPr>
        <w:adjustRightInd w:val="0"/>
        <w:snapToGri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bCs/>
          <w:color w:val="000000"/>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000000"/>
          <w:kern w:val="0"/>
          <w:sz w:val="21"/>
          <w:szCs w:val="21"/>
        </w:rPr>
        <w:t>。</w:t>
      </w:r>
    </w:p>
    <w:p>
      <w:pPr>
        <w:widowControl/>
        <w:numPr>
          <w:ilvl w:val="2"/>
          <w:numId w:val="1"/>
        </w:numPr>
        <w:adjustRightInd w:val="0"/>
        <w:snapToGri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本次采购内容如果要求的某些技术标准低于国家标准，均以最新的国家标准为准。招标技术要求中未明确的技术标准也均不得低于国家标准；</w:t>
      </w:r>
    </w:p>
    <w:p>
      <w:pPr>
        <w:widowControl/>
        <w:snapToGrid w:val="0"/>
        <w:spacing w:line="360" w:lineRule="auto"/>
        <w:ind w:firstLine="422" w:firstLineChars="200"/>
        <w:jc w:val="left"/>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本次采购产品如在国家强制性认证范围内的必须取得国家强制性CCC认证（提供CCC认证证书，投标文件商务、技术证明文件正本中提供复印件加盖投标人或</w:t>
      </w:r>
      <w:r>
        <w:rPr>
          <w:rFonts w:hint="eastAsia" w:ascii="宋体" w:hAnsi="宋体" w:eastAsia="宋体" w:cs="宋体"/>
          <w:b/>
          <w:bCs/>
          <w:color w:val="auto"/>
          <w:kern w:val="0"/>
          <w:sz w:val="21"/>
          <w:szCs w:val="21"/>
          <w:lang w:val="en-US" w:eastAsia="zh-CN"/>
        </w:rPr>
        <w:t>制造商</w:t>
      </w:r>
      <w:r>
        <w:rPr>
          <w:rFonts w:hint="eastAsia" w:ascii="宋体" w:hAnsi="宋体" w:eastAsia="宋体" w:cs="宋体"/>
          <w:b/>
          <w:bCs/>
          <w:color w:val="auto"/>
          <w:kern w:val="0"/>
          <w:sz w:val="21"/>
          <w:szCs w:val="21"/>
        </w:rPr>
        <w:t>公章，副本可为正本复印件）。</w:t>
      </w:r>
    </w:p>
    <w:p>
      <w:pPr>
        <w:widowControl/>
        <w:numPr>
          <w:ilvl w:val="2"/>
          <w:numId w:val="1"/>
        </w:numPr>
        <w:adjustRightInd w:val="0"/>
        <w:snapToGri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本采购项目为交钥匙项目，验收合格前所需的一切费用均包含在报价之中，采购人不承担成交价格以外的任何费用。</w:t>
      </w:r>
    </w:p>
    <w:p>
      <w:pPr>
        <w:widowControl/>
        <w:numPr>
          <w:ilvl w:val="0"/>
          <w:numId w:val="0"/>
        </w:numPr>
        <w:adjustRightInd w:val="0"/>
        <w:snapToGrid w:val="0"/>
        <w:spacing w:line="360" w:lineRule="auto"/>
        <w:ind w:leftChars="0"/>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lang w:val="en-US" w:eastAsia="zh-CN"/>
        </w:rPr>
        <w:t>二、</w:t>
      </w:r>
      <w:r>
        <w:rPr>
          <w:rFonts w:hint="eastAsia" w:ascii="宋体" w:hAnsi="宋体" w:eastAsia="宋体" w:cs="宋体"/>
          <w:b/>
          <w:color w:val="000000"/>
          <w:kern w:val="0"/>
          <w:sz w:val="21"/>
          <w:szCs w:val="21"/>
        </w:rPr>
        <w:t>商务要求：</w:t>
      </w:r>
    </w:p>
    <w:p>
      <w:pPr>
        <w:numPr>
          <w:ilvl w:val="2"/>
          <w:numId w:val="2"/>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合同履行期限：</w:t>
      </w:r>
      <w:r>
        <w:rPr>
          <w:rFonts w:hint="eastAsia" w:ascii="宋体" w:hAnsi="宋体" w:eastAsia="宋体" w:cs="宋体"/>
          <w:sz w:val="21"/>
          <w:szCs w:val="21"/>
          <w:highlight w:val="none"/>
        </w:rPr>
        <w:t>签订合同之日起</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天内完成</w:t>
      </w:r>
      <w:r>
        <w:rPr>
          <w:rFonts w:hint="eastAsia" w:ascii="宋体" w:hAnsi="宋体" w:eastAsia="宋体" w:cs="宋体"/>
          <w:color w:val="auto"/>
          <w:sz w:val="21"/>
          <w:szCs w:val="21"/>
          <w:highlight w:val="none"/>
        </w:rPr>
        <w:t>。</w:t>
      </w:r>
    </w:p>
    <w:p>
      <w:pPr>
        <w:numPr>
          <w:ilvl w:val="2"/>
          <w:numId w:val="2"/>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供货安装地点：</w:t>
      </w:r>
      <w:r>
        <w:rPr>
          <w:rFonts w:hint="eastAsia" w:ascii="宋体" w:hAnsi="宋体" w:eastAsia="宋体" w:cs="宋体"/>
          <w:color w:val="auto"/>
          <w:sz w:val="21"/>
          <w:szCs w:val="21"/>
          <w:lang w:val="en-US" w:eastAsia="zh-CN"/>
        </w:rPr>
        <w:t>采购人指定地点</w:t>
      </w:r>
    </w:p>
    <w:p>
      <w:pPr>
        <w:numPr>
          <w:ilvl w:val="2"/>
          <w:numId w:val="2"/>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质量标准：</w:t>
      </w:r>
      <w:r>
        <w:rPr>
          <w:rFonts w:hint="eastAsia" w:ascii="宋体" w:hAnsi="宋体" w:eastAsia="宋体" w:cs="宋体"/>
          <w:color w:val="auto"/>
          <w:sz w:val="21"/>
          <w:szCs w:val="21"/>
          <w:lang w:val="en-US" w:eastAsia="zh-CN"/>
        </w:rPr>
        <w:t>符合国家现行及行业标准</w:t>
      </w:r>
      <w:r>
        <w:rPr>
          <w:rFonts w:hint="eastAsia" w:ascii="宋体" w:hAnsi="宋体" w:eastAsia="宋体" w:cs="宋体"/>
          <w:color w:val="auto"/>
          <w:sz w:val="21"/>
          <w:szCs w:val="21"/>
        </w:rPr>
        <w:t xml:space="preserve"> </w:t>
      </w:r>
    </w:p>
    <w:p>
      <w:pPr>
        <w:numPr>
          <w:ilvl w:val="2"/>
          <w:numId w:val="2"/>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质量保证期：</w:t>
      </w:r>
      <w:r>
        <w:rPr>
          <w:rFonts w:hint="eastAsia" w:ascii="宋体" w:hAnsi="宋体" w:eastAsia="宋体" w:cs="宋体"/>
          <w:color w:val="auto"/>
          <w:sz w:val="21"/>
          <w:szCs w:val="21"/>
          <w:highlight w:val="none"/>
          <w:lang w:val="en-US" w:eastAsia="zh-CN"/>
        </w:rPr>
        <w:t>2年</w:t>
      </w:r>
      <w:r>
        <w:rPr>
          <w:rFonts w:hint="eastAsia" w:ascii="宋体" w:hAnsi="宋体" w:eastAsia="宋体" w:cs="宋体"/>
          <w:color w:val="auto"/>
          <w:sz w:val="21"/>
          <w:szCs w:val="21"/>
          <w:highlight w:val="none"/>
        </w:rPr>
        <w:t xml:space="preserve"> </w:t>
      </w:r>
    </w:p>
    <w:p>
      <w:pPr>
        <w:numPr>
          <w:ilvl w:val="2"/>
          <w:numId w:val="2"/>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履约担保：中标人与采购人签订合同前，需向采购人交纳中标金额的</w:t>
      </w:r>
      <w:r>
        <w:rPr>
          <w:rFonts w:hint="eastAsia" w:ascii="宋体" w:hAnsi="宋体" w:eastAsia="宋体" w:cs="宋体"/>
          <w:color w:val="auto"/>
          <w:sz w:val="21"/>
          <w:szCs w:val="21"/>
          <w:highlight w:val="none"/>
          <w:u w:val="none"/>
          <w:lang w:val="en-US" w:eastAsia="zh-CN"/>
        </w:rPr>
        <w:t>5</w:t>
      </w:r>
      <w:r>
        <w:rPr>
          <w:rFonts w:hint="eastAsia" w:ascii="宋体" w:hAnsi="宋体" w:eastAsia="宋体" w:cs="宋体"/>
          <w:color w:val="auto"/>
          <w:sz w:val="21"/>
          <w:szCs w:val="21"/>
          <w:highlight w:val="none"/>
        </w:rPr>
        <w:t>%作为履约保证金，合同履行结束，经验收合格后退还。</w:t>
      </w:r>
    </w:p>
    <w:p>
      <w:pPr>
        <w:numPr>
          <w:ilvl w:val="2"/>
          <w:numId w:val="2"/>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付款方式：安装调试合格并经审计后付至审计总额的95%；5 %余款作为质保金，质保期满且第三次检验合格后一次付清（无利息）。</w:t>
      </w:r>
    </w:p>
    <w:p>
      <w:pPr>
        <w:widowControl/>
        <w:numPr>
          <w:ilvl w:val="0"/>
          <w:numId w:val="0"/>
        </w:numPr>
        <w:adjustRightInd w:val="0"/>
        <w:snapToGrid w:val="0"/>
        <w:spacing w:line="360" w:lineRule="auto"/>
        <w:ind w:leftChars="0"/>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lang w:val="en-US" w:eastAsia="zh-CN"/>
        </w:rPr>
        <w:t>三、</w:t>
      </w:r>
      <w:r>
        <w:rPr>
          <w:rFonts w:hint="eastAsia" w:ascii="宋体" w:hAnsi="宋体" w:eastAsia="宋体" w:cs="宋体"/>
          <w:b/>
          <w:color w:val="000000"/>
          <w:kern w:val="0"/>
          <w:sz w:val="21"/>
          <w:szCs w:val="21"/>
        </w:rPr>
        <w:t>采购内容及技术要求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本项目的核心产品为：</w:t>
      </w:r>
      <w:r>
        <w:rPr>
          <w:rFonts w:hint="eastAsia" w:ascii="宋体" w:hAnsi="宋体" w:eastAsia="宋体" w:cs="宋体"/>
          <w:sz w:val="21"/>
          <w:szCs w:val="21"/>
          <w:highlight w:val="none"/>
          <w:u w:val="single"/>
        </w:rPr>
        <w:t xml:space="preserve">  400万全彩网络摄像机 </w:t>
      </w:r>
      <w:r>
        <w:rPr>
          <w:rFonts w:hint="eastAsia" w:ascii="宋体" w:hAnsi="宋体" w:eastAsia="宋体" w:cs="宋体"/>
          <w:sz w:val="21"/>
          <w:szCs w:val="21"/>
          <w:highlight w:val="none"/>
        </w:rPr>
        <w:t>（核心产品仅适用于本项目</w:t>
      </w:r>
      <w:r>
        <w:rPr>
          <w:rFonts w:hint="eastAsia" w:ascii="宋体" w:hAnsi="宋体" w:eastAsia="宋体" w:cs="宋体"/>
          <w:bCs/>
          <w:sz w:val="21"/>
          <w:szCs w:val="21"/>
          <w:highlight w:val="none"/>
        </w:rPr>
        <w:t>同一品牌的认定，同一品牌的认定详见投标人须知</w:t>
      </w:r>
      <w:r>
        <w:rPr>
          <w:rFonts w:hint="eastAsia" w:ascii="宋体" w:hAnsi="宋体" w:eastAsia="宋体" w:cs="宋体"/>
          <w:sz w:val="21"/>
          <w:szCs w:val="21"/>
          <w:highlight w:val="none"/>
        </w:rPr>
        <w:t>）</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1555"/>
        <w:gridCol w:w="5498"/>
        <w:gridCol w:w="738"/>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420" w:type="pct"/>
            <w:shd w:val="clear" w:color="auto" w:fill="FFFFFF"/>
            <w:noWrap w:val="0"/>
            <w:vAlign w:val="center"/>
          </w:tcPr>
          <w:p>
            <w:pPr>
              <w:widowControl/>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序号</w:t>
            </w:r>
          </w:p>
        </w:tc>
        <w:tc>
          <w:tcPr>
            <w:tcW w:w="813" w:type="pct"/>
            <w:shd w:val="clear" w:color="auto" w:fill="FFFFFF"/>
            <w:noWrap w:val="0"/>
            <w:vAlign w:val="center"/>
          </w:tcPr>
          <w:p>
            <w:pPr>
              <w:widowControl/>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产品类别</w:t>
            </w:r>
          </w:p>
        </w:tc>
        <w:tc>
          <w:tcPr>
            <w:tcW w:w="2874" w:type="pct"/>
            <w:shd w:val="clear" w:color="auto" w:fill="FFFFFF"/>
            <w:noWrap w:val="0"/>
            <w:vAlign w:val="center"/>
          </w:tcPr>
          <w:p>
            <w:pPr>
              <w:widowControl/>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技术规格</w:t>
            </w:r>
          </w:p>
        </w:tc>
        <w:tc>
          <w:tcPr>
            <w:tcW w:w="386" w:type="pct"/>
            <w:shd w:val="clear" w:color="auto" w:fill="FFFFFF"/>
            <w:noWrap w:val="0"/>
            <w:vAlign w:val="center"/>
          </w:tcPr>
          <w:p>
            <w:pPr>
              <w:widowControl/>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单位</w:t>
            </w:r>
          </w:p>
        </w:tc>
        <w:tc>
          <w:tcPr>
            <w:tcW w:w="505" w:type="pct"/>
            <w:shd w:val="clear" w:color="auto" w:fill="FFFFFF"/>
            <w:noWrap w:val="0"/>
            <w:vAlign w:val="center"/>
          </w:tcPr>
          <w:p>
            <w:pPr>
              <w:widowControl/>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000" w:type="pct"/>
            <w:gridSpan w:val="5"/>
            <w:shd w:val="clear" w:color="auto" w:fill="FFFFFF"/>
            <w:noWrap w:val="0"/>
            <w:vAlign w:val="center"/>
          </w:tcPr>
          <w:p>
            <w:pPr>
              <w:spacing w:line="36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新校区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5000" w:type="pct"/>
            <w:gridSpan w:val="5"/>
            <w:shd w:val="clear" w:color="auto" w:fill="FFFFFF"/>
            <w:noWrap w:val="0"/>
            <w:vAlign w:val="center"/>
          </w:tcPr>
          <w:p>
            <w:pPr>
              <w:spacing w:line="36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前端部分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813"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400万全彩网络摄像机</w:t>
            </w:r>
          </w:p>
        </w:tc>
        <w:tc>
          <w:tcPr>
            <w:tcW w:w="2874" w:type="pct"/>
            <w:noWrap w:val="0"/>
            <w:vAlign w:val="center"/>
          </w:tcPr>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1.具有≥400万像素CMOS传感器。</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2.具有不小于1/1.8"靶面尺寸。</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3.内置≥2颗白光补光灯。</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4.最低照度彩色：≤0.0004 lx。</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5.白天或夜晚均可输出彩色视频图像。</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6.在2560x1440 @ 25fps下，清晰度不小于1400TVL。</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7.支持H.264、H.265、MJPEG视频编码格式，其中H.264支持Baseline/Main/High Profile。</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8.信噪比不小于62dB。</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9.需具有大于140分的宽动态能力。</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10.摄像机能够在-30~60摄氏度，湿度小于93%环境下稳定工作。</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11.不低于IP67防尘防水等级。</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12.需支持DC12V供电，且在不小于DC12V±30%范围内变化时可以正常工作。</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13.设备工作状态时，支持空气放电9kV，接触放电7kV，通讯端口支持6kV峰值电压。</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14.同一静止场景相同图像质量下，设备在H.265编码方式时，开启智能编码功能和不开启智能编码相比，码率节约80%。</w:t>
            </w:r>
          </w:p>
          <w:p>
            <w:pPr>
              <w:widowControl/>
              <w:spacing w:line="360" w:lineRule="auto"/>
              <w:jc w:val="left"/>
              <w:rPr>
                <w:rFonts w:hint="eastAsia" w:ascii="宋体" w:hAnsi="宋体" w:eastAsia="宋体" w:cs="宋体"/>
                <w:lang w:val="en-US" w:eastAsia="zh-CN"/>
              </w:rPr>
            </w:pPr>
            <w:r>
              <w:rPr>
                <w:rFonts w:hint="eastAsia" w:ascii="宋体" w:hAnsi="宋体" w:eastAsia="宋体" w:cs="宋体"/>
                <w:kern w:val="0"/>
                <w:sz w:val="21"/>
                <w:szCs w:val="21"/>
                <w:lang w:val="en-US" w:eastAsia="zh-CN"/>
              </w:rPr>
              <w:t>15.以上技术要求的第2、4、5项需提供第三方检测机构出具的检测报告复印件加盖制造商公章。</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505"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813"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400万全彩网络半球摄像机</w:t>
            </w:r>
          </w:p>
        </w:tc>
        <w:tc>
          <w:tcPr>
            <w:tcW w:w="2874" w:type="pct"/>
            <w:noWrap w:val="0"/>
            <w:vAlign w:val="center"/>
          </w:tcPr>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1.具有≥400万像素 CMOS传感器。</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2.最大分辨率2560x1440。</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3.红外补光距离不小于50米。</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4.需支持三码流技术，可同时输出三路码流，主码流最高2560x1440@25fps，第三码流最大2560x1440 @ 25fps，子码流5.704x576@25fps。</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5.在2560x1440 @ 25fps下，清晰度不小于1400TVL。</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6.支持H.264、H.265、MJPEG视频编码格式，且具有High Profile编码能力。</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7.摄像机能够在-30~60摄氏度，湿度小于93%环境下稳定工作。</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8.设备与客户端之间用100米网线进行传输，数据包丢包率小于0.1%。</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9.不低于IP67防尘防水等级。</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10.需支持DC12V供电，且在不小于DC12V±30%范围内变化时可以正常工作。</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11.同一静止场景相同图像质量下，设备在H.265编码方式时，开启智能编码功能和不开启智能编码相比，码率节约1/2。</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12.设备工作状态时，支持空气放电8kV，接触放电6kV，通讯端口支持6kV峰值电压。</w:t>
            </w:r>
          </w:p>
        </w:tc>
        <w:tc>
          <w:tcPr>
            <w:tcW w:w="386"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505"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420"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813"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摄像机支架</w:t>
            </w:r>
          </w:p>
        </w:tc>
        <w:tc>
          <w:tcPr>
            <w:tcW w:w="2874" w:type="pct"/>
            <w:noWrap w:val="0"/>
            <w:vAlign w:val="center"/>
          </w:tcPr>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壁装支架/白/铝合金</w:t>
            </w:r>
          </w:p>
        </w:tc>
        <w:tc>
          <w:tcPr>
            <w:tcW w:w="386"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个</w:t>
            </w:r>
          </w:p>
        </w:tc>
        <w:tc>
          <w:tcPr>
            <w:tcW w:w="505"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420"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813"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摄像机电源</w:t>
            </w:r>
          </w:p>
        </w:tc>
        <w:tc>
          <w:tcPr>
            <w:tcW w:w="2874" w:type="pct"/>
            <w:noWrap w:val="0"/>
            <w:vAlign w:val="center"/>
          </w:tcPr>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国标,12V1A输出,Φ2.1圆头，桌面式，输入350mm,输出800mm</w:t>
            </w:r>
            <w:r>
              <w:rPr>
                <w:rFonts w:hint="eastAsia" w:ascii="宋体" w:hAnsi="宋体" w:eastAsia="宋体" w:cs="宋体"/>
                <w:kern w:val="0"/>
                <w:sz w:val="21"/>
                <w:szCs w:val="21"/>
              </w:rPr>
              <w:br w:type="textWrapping"/>
            </w:r>
            <w:r>
              <w:rPr>
                <w:rFonts w:hint="eastAsia" w:ascii="宋体" w:hAnsi="宋体" w:eastAsia="宋体" w:cs="宋体"/>
                <w:kern w:val="0"/>
                <w:sz w:val="21"/>
                <w:szCs w:val="21"/>
              </w:rPr>
              <w:t>输入电压：AC170V~240V</w:t>
            </w:r>
          </w:p>
        </w:tc>
        <w:tc>
          <w:tcPr>
            <w:tcW w:w="386"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个</w:t>
            </w:r>
          </w:p>
        </w:tc>
        <w:tc>
          <w:tcPr>
            <w:tcW w:w="505"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813"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全彩智能球机</w:t>
            </w:r>
          </w:p>
        </w:tc>
        <w:tc>
          <w:tcPr>
            <w:tcW w:w="2874" w:type="pct"/>
            <w:noWrap w:val="0"/>
            <w:vAlign w:val="center"/>
          </w:tcPr>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1.视频输出支持2560×1440@25fps，分辨力不小于1400TVL，红外距离可达300米</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2.支持最低照度可达彩色≤0.0003Lux，黑白≤0.0001Lux，支持≥23倍光学变焦</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3.水平旋转范围为360°连续旋转，垂直旋转范围为-20°~90°</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4.可通过IE浏览器设置8个场景进行人脸抓拍，可设置每个场景的布防时间。</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5.当通过IE浏览器手动点击或框选预览画面中的人脸时，设备能通过PTZ转动将人脸置于画面中心，并对人脸进行抓拍。</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6.可通过IE浏览器实时预览设备抓拍的人脸图片，并可在历史记录中存储不小于100张人脸抓拍图片。</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7.设备可对监视画面中不小于30张人脸进行检测、跟踪和抓拍。</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8.支持≥300个预置位，可按照所设置的预置位完成不小于8条巡航路径，支持不小于4条模式路径设置，支持预置位视频冻结功能；可实现RS485接口优先或RJ45网络接口优先控制功能</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9.信噪比≥61dB，网络延时不大于100ms</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10.具备较强的网络适应能力，在丢包率为20%的网络环境下，仍可正常显示监视画面。</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11.球机应具备本机存储功能，支持SD卡热插拔，最大支持256GB</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12.具备较好的防护性能环境适应性，支持≥IP67，6kV防浪涌，工作温度范围可达-40℃-70℃</w:t>
            </w:r>
          </w:p>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13.具备较好的电源适应性，电压在AC24V±30%范围内变化时，设备可正常工作</w:t>
            </w:r>
          </w:p>
          <w:p>
            <w:pPr>
              <w:widowControl/>
              <w:spacing w:line="360" w:lineRule="auto"/>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14.以上技术要求的第4</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5、6、7</w:t>
            </w:r>
            <w:r>
              <w:rPr>
                <w:rFonts w:hint="eastAsia" w:ascii="宋体" w:hAnsi="宋体" w:eastAsia="宋体" w:cs="宋体"/>
                <w:kern w:val="0"/>
                <w:sz w:val="21"/>
                <w:szCs w:val="21"/>
              </w:rPr>
              <w:t>项需提供第三方检测机构出具的检测报告复印件加盖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val="en-US"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台</w:t>
            </w:r>
          </w:p>
        </w:tc>
        <w:tc>
          <w:tcPr>
            <w:tcW w:w="505"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6</w:t>
            </w:r>
          </w:p>
        </w:tc>
        <w:tc>
          <w:tcPr>
            <w:tcW w:w="813"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支架</w:t>
            </w:r>
          </w:p>
        </w:tc>
        <w:tc>
          <w:tcPr>
            <w:tcW w:w="2874" w:type="pct"/>
            <w:noWrap w:val="0"/>
            <w:vAlign w:val="center"/>
          </w:tcPr>
          <w:p>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壁装支架/铝合金</w:t>
            </w:r>
          </w:p>
        </w:tc>
        <w:tc>
          <w:tcPr>
            <w:tcW w:w="386" w:type="pct"/>
            <w:noWrap w:val="0"/>
            <w:vAlign w:val="top"/>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个</w:t>
            </w:r>
          </w:p>
        </w:tc>
        <w:tc>
          <w:tcPr>
            <w:tcW w:w="505" w:type="pct"/>
            <w:noWrap w:val="0"/>
            <w:vAlign w:val="top"/>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000" w:type="pct"/>
            <w:gridSpan w:val="5"/>
            <w:noWrap w:val="0"/>
            <w:vAlign w:val="top"/>
          </w:tcPr>
          <w:p>
            <w:pPr>
              <w:spacing w:line="360" w:lineRule="auto"/>
              <w:jc w:val="left"/>
              <w:textAlignment w:val="top"/>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监控中心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c>
          <w:tcPr>
            <w:tcW w:w="813"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综合管理平台</w:t>
            </w:r>
          </w:p>
        </w:tc>
        <w:tc>
          <w:tcPr>
            <w:tcW w:w="2874" w:type="pct"/>
            <w:noWrap w:val="0"/>
            <w:vAlign w:val="top"/>
          </w:tcPr>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支持系统内的组织、人员、车辆、用户、角色、认证、区域等的配置和管理；</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包含图上监控、事件联动、视频网管、门禁网管、紧急报警、违停球接入等功能。</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支持前端编码设备的集中管理；</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支持视频预览、录像回放、图片查看、解码上墙等功能；</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用于平台对外标准化互联互通（跨网、异构）的组件。支持通用视频联网标准协（GB/T28181、DB33/T629）,提供支持其他联网标准的扩展能力。</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支持入侵报警检测，支持实时报警事件接收和反控</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650路视频授权</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支持图片方式预览回放</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支持NVR、CVR、云存储等多种形态的存储方式</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支持设备录像回传至中心存储，可以支持计划回传和手动回传两种模式</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支持视频客户端预览时选择监控点一键上墙</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支持对平台内管理的视频设备的在线状态进行检查</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支持多种事件类型配置联动规则，包含通用视频事件、入侵报警事件、IO事件、门禁事件、停车场事件、行车监控事件、梯控事件、动环事件、人脸识别事件、卡口事件、热成像事件、行为分析事件</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套</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2</w:t>
            </w:r>
          </w:p>
        </w:tc>
        <w:tc>
          <w:tcPr>
            <w:tcW w:w="813"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综合管理服务器</w:t>
            </w:r>
          </w:p>
        </w:tc>
        <w:tc>
          <w:tcPr>
            <w:tcW w:w="2874" w:type="pct"/>
            <w:noWrap w:val="0"/>
            <w:vAlign w:val="top"/>
          </w:tcPr>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 xml:space="preserve">4110×2/64GB DDR4/600G 10K SAS×4（单盘）/SAS_HBA/1GbE×2+10GbE×2/550W(1+1)/2U/16DIMM </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2U双路标准机架式服务器</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CPU：2颗Xeon® Silver 4110（8核，2.1GHz）</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内存：16G*4 DDR4，16根内存插槽，最大支持扩展至2TB内存</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硬盘：4块600G 10K 2.5寸 SAS硬盘</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阵列卡：SAS_HBA卡，支持RAID 0/1/10</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PCIE扩展：最大可支持6个PCIE扩展插槽</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网口：2个千兆电口,2个万兆光口</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其他接口：1个RJ45管理接口，4个USB 3.0接口，1个VGA接口</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 xml:space="preserve">电源：标配550W（1+1）高效铂金CRPS冗余电源 </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3</w:t>
            </w:r>
          </w:p>
        </w:tc>
        <w:tc>
          <w:tcPr>
            <w:tcW w:w="813"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kern w:val="0"/>
                <w:sz w:val="21"/>
                <w:szCs w:val="21"/>
              </w:rPr>
              <w:t>流媒体管理服务器</w:t>
            </w:r>
          </w:p>
        </w:tc>
        <w:tc>
          <w:tcPr>
            <w:tcW w:w="2874" w:type="pct"/>
            <w:noWrap w:val="0"/>
            <w:vAlign w:val="top"/>
          </w:tcPr>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流媒体服务器产品，集成DAC、VTDU于一体, 支持GB/ONVIF/PSIA标准协议的视频接入和转发（性能：600路*4Mbps的接入和600路*4Mbps转发）。配置：1个64位多核处理器，16GB。</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813"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kern w:val="0"/>
                <w:sz w:val="21"/>
                <w:szCs w:val="21"/>
              </w:rPr>
              <w:t>H.265解码器</w:t>
            </w:r>
          </w:p>
        </w:tc>
        <w:tc>
          <w:tcPr>
            <w:tcW w:w="2874" w:type="pct"/>
            <w:noWrap w:val="0"/>
            <w:vAlign w:val="top"/>
          </w:tcPr>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1.采用嵌入式架构，专用Linux系统，使用DSP解码。具有1个电源指示灯，2个硬盘指示灯。</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2.可通过客户端软件将显示窗口在多个显示屏间进行拖动或跨屏显示，并可调节显示窗口大小。</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3.可将视频图像进行轮巡输出显示，并可在客户端软件设置轮巡计划。</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4.支持1、2、4、6、8、9、10、12、16、25、36画面分割显示。</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可对以下分辨率的视频图像进行解码后输出：10路分辨率为4000×3000（20fps）的视频图像；20路分辨率为4096×2160（25fps）的视频图像；20路分辨率为3840×2160（25fps）的视频图像；30路分辨率为2592×1944（30fps，25fps）的视频图像；50路分辨率为2048×1536（30fps，25fps）的视频图像；80路分辨率为1920×1080（30fps，25fps）的视频图像；160路分辨率为1280×720（30fps，25fps）的视频图像。</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6.可对以下编码格式的视频图像进行解码后输出：H.264、H.265、Smart264、Smart265、MPEG4视频图像。</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7.可对以下分辨率及编码格式的视频图像进行解码后输出：20路分辨率为1920×1080（30fps，25fps）的MJPEG视频图像。</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8.支持解码音频格式为G.722、G.711A、G.726、G.711U、MPEG2-L2、AAC、PCM的文件。</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9.可对输入的视频画面进行90°旋转显示。</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10.可通过客户端软件上传分辨率为1920×1080的JPEG图片，作为墙纸显示在窗口图层底图，可通过客户端软件设置底色，当无解码画面时，设备输出显示该底色。</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11.可通过APP客户端对设备输出的视频图像进行控制操作。</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12.设备接入具有智能行为分析功能的摄像机，可解码显示智能行为分析信息，包括移动侦测、越界入侵、区域入侵、起身离开等，并上传报警信息。</w:t>
            </w:r>
          </w:p>
          <w:p>
            <w:pPr>
              <w:widowControl/>
              <w:spacing w:line="360" w:lineRule="auto"/>
              <w:jc w:val="left"/>
              <w:textAlignment w:val="top"/>
              <w:rPr>
                <w:rFonts w:hint="eastAsia" w:ascii="宋体" w:hAnsi="宋体" w:eastAsia="宋体" w:cs="宋体"/>
                <w:kern w:val="0"/>
                <w:sz w:val="21"/>
                <w:szCs w:val="21"/>
                <w:lang w:eastAsia="zh-CN"/>
              </w:rPr>
            </w:pPr>
            <w:r>
              <w:rPr>
                <w:rFonts w:hint="eastAsia" w:ascii="宋体" w:hAnsi="宋体" w:eastAsia="宋体" w:cs="宋体"/>
                <w:kern w:val="0"/>
                <w:sz w:val="21"/>
                <w:szCs w:val="21"/>
              </w:rPr>
              <w:t>13.以上技术要求的第5、6、12项需提供第三方检测机构出具的检测报告复印件加盖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5</w:t>
            </w:r>
          </w:p>
        </w:tc>
        <w:tc>
          <w:tcPr>
            <w:tcW w:w="813"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kern w:val="0"/>
                <w:sz w:val="21"/>
                <w:szCs w:val="21"/>
              </w:rPr>
              <w:t>4K监视器</w:t>
            </w:r>
          </w:p>
        </w:tc>
        <w:tc>
          <w:tcPr>
            <w:tcW w:w="2874" w:type="pct"/>
            <w:noWrap w:val="0"/>
            <w:vAlign w:val="top"/>
          </w:tcPr>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55寸4K液晶监视器，金属外观，</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显示：LED背光；物理分辨率3840×2160；</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亮度450cd/㎡；对比度1300:1，功耗：≤138W，</w:t>
            </w:r>
          </w:p>
          <w:p>
            <w:pPr>
              <w:widowControl/>
              <w:spacing w:line="360" w:lineRule="auto"/>
              <w:jc w:val="left"/>
              <w:textAlignment w:val="top"/>
              <w:rPr>
                <w:rFonts w:hint="eastAsia" w:ascii="宋体" w:hAnsi="宋体" w:eastAsia="宋体" w:cs="宋体"/>
                <w:kern w:val="0"/>
                <w:sz w:val="21"/>
                <w:szCs w:val="21"/>
              </w:rPr>
            </w:pPr>
            <w:r>
              <w:rPr>
                <w:rFonts w:hint="eastAsia" w:ascii="宋体" w:hAnsi="宋体" w:eastAsia="宋体" w:cs="宋体"/>
                <w:kern w:val="0"/>
                <w:sz w:val="21"/>
                <w:szCs w:val="21"/>
              </w:rPr>
              <w:t>裸机尺寸 (W*H*D)(mm)：1237.20 mm*708 mm*75.74mm，</w:t>
            </w:r>
          </w:p>
          <w:p>
            <w:pPr>
              <w:widowControl/>
              <w:spacing w:line="360" w:lineRule="auto"/>
              <w:jc w:val="left"/>
              <w:textAlignment w:val="top"/>
              <w:rPr>
                <w:rFonts w:hint="eastAsia" w:ascii="宋体" w:hAnsi="宋体" w:eastAsia="宋体" w:cs="宋体"/>
                <w:kern w:val="0"/>
                <w:sz w:val="21"/>
                <w:szCs w:val="21"/>
                <w:lang w:eastAsia="zh-CN"/>
              </w:rPr>
            </w:pPr>
            <w:r>
              <w:rPr>
                <w:rFonts w:hint="eastAsia" w:ascii="宋体" w:hAnsi="宋体" w:eastAsia="宋体" w:cs="宋体"/>
                <w:kern w:val="0"/>
                <w:sz w:val="21"/>
                <w:szCs w:val="21"/>
              </w:rPr>
              <w:t>接口：1个VGA输入接口，1个HDMI输入接口，1个DVI输入接口，1个DP输入接口，1个USB输入接口（用于升级，不支持USB播放），2个3.5mm音频接口（输入/输出），2个RS232接口（输入/输出）</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套</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6</w:t>
            </w:r>
          </w:p>
        </w:tc>
        <w:tc>
          <w:tcPr>
            <w:tcW w:w="813"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监视器支架</w:t>
            </w:r>
          </w:p>
        </w:tc>
        <w:tc>
          <w:tcPr>
            <w:tcW w:w="2874" w:type="pct"/>
            <w:noWrap w:val="0"/>
            <w:vAlign w:val="center"/>
          </w:tcPr>
          <w:p>
            <w:pPr>
              <w:widowControl/>
              <w:spacing w:line="360" w:lineRule="auto"/>
              <w:textAlignment w:val="top"/>
              <w:rPr>
                <w:rFonts w:hint="eastAsia" w:ascii="宋体" w:hAnsi="宋体" w:eastAsia="宋体" w:cs="宋体"/>
                <w:kern w:val="0"/>
                <w:sz w:val="21"/>
                <w:szCs w:val="21"/>
              </w:rPr>
            </w:pPr>
            <w:r>
              <w:rPr>
                <w:rFonts w:hint="eastAsia" w:ascii="宋体" w:hAnsi="宋体" w:eastAsia="宋体" w:cs="宋体"/>
                <w:kern w:val="0"/>
                <w:sz w:val="21"/>
                <w:szCs w:val="21"/>
              </w:rPr>
              <w:t>壁挂支架</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架</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7</w:t>
            </w:r>
          </w:p>
        </w:tc>
        <w:tc>
          <w:tcPr>
            <w:tcW w:w="813"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kern w:val="0"/>
                <w:sz w:val="21"/>
                <w:szCs w:val="21"/>
              </w:rPr>
              <w:t>网络键盘</w:t>
            </w:r>
          </w:p>
        </w:tc>
        <w:tc>
          <w:tcPr>
            <w:tcW w:w="2874" w:type="pct"/>
            <w:noWrap w:val="0"/>
            <w:vAlign w:val="top"/>
          </w:tcPr>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1.Android操作系统,分辨率：≥1280*720</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2.屏幕尺寸≥10.2英寸;屏幕类型：触控屏</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3.屏幕区和摇杆区采用可拆分结构，摇杆和触控屏可分离使用。</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4.支持添加设备数量≥8000</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5.支持上下、左右、变倍和抓图四维控制功能。</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6.支持有线和无线Wifi网络连接</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7.支持4路1080P视频解码显示,最大16画面分割显示,支持在触摸屏幕上预览前端图像</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8.支持DVI和HDMI接口外接显示设备实现图像预览</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9.支持音频输入/出口,支持2个USB口</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10.支持接入DVR、DVS、NVR、网络摄像机、球机设备,支持语音对讲</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11.支持在键盘显示屏上显示电视墙当前整体布局。</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12.连接云台设备时，可通过摇杆或触控屏实现云台设备控制功能，支持预置位、自动巡航、模式路径、光圈调节、变焦、雨刷、灯光等功能。</w:t>
            </w:r>
          </w:p>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13.开机时间≤35秒,延时≤190毫秒；</w:t>
            </w:r>
          </w:p>
          <w:p>
            <w:pPr>
              <w:widowControl/>
              <w:spacing w:line="360" w:lineRule="auto"/>
              <w:jc w:val="left"/>
              <w:textAlignment w:val="top"/>
              <w:rPr>
                <w:rFonts w:hint="eastAsia" w:ascii="宋体" w:hAnsi="宋体" w:eastAsia="宋体" w:cs="宋体"/>
                <w:kern w:val="0"/>
                <w:sz w:val="21"/>
                <w:szCs w:val="21"/>
                <w:lang w:eastAsia="zh-CN"/>
              </w:rPr>
            </w:pPr>
            <w:r>
              <w:rPr>
                <w:rFonts w:hint="eastAsia" w:ascii="宋体" w:hAnsi="宋体" w:eastAsia="宋体" w:cs="宋体"/>
                <w:kern w:val="0"/>
                <w:sz w:val="21"/>
                <w:szCs w:val="21"/>
              </w:rPr>
              <w:t>14.以上技术要求的第1、3、4、13项需第三方检测机构出具的检测报告复印件加盖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8</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8口千兆二层非网管型交换机</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机架式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提供8个10/100/1000M自适应RJ45电口</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1个千兆SFP光口</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支持IEEE802.3、IEEE802.3u、IEEE802.3x</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全千兆网络设计</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线速转发、无阻塞设计</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存储转发交换方式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超过10万小时的平均无故障时间</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9</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汇聚交换机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bidi="ar"/>
              </w:rPr>
              <w:t>可用千兆光接口数量≥24，复用千兆光电接口数量≥8，万兆接口数≥4</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管理口：支持独立的console管理串口</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交换容量≥256Gbps</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转发性能≥96Mpps</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提供</w:t>
            </w:r>
            <w:r>
              <w:rPr>
                <w:rFonts w:hint="eastAsia" w:ascii="宋体" w:hAnsi="宋体" w:eastAsia="宋体" w:cs="宋体"/>
                <w:color w:val="000000"/>
                <w:kern w:val="0"/>
                <w:sz w:val="21"/>
                <w:szCs w:val="21"/>
                <w:highlight w:val="none"/>
                <w:lang w:eastAsia="zh-CN" w:bidi="ar"/>
              </w:rPr>
              <w:t>第三方检测机构出具的</w:t>
            </w:r>
            <w:r>
              <w:rPr>
                <w:rFonts w:hint="eastAsia" w:ascii="宋体" w:hAnsi="宋体" w:eastAsia="宋体" w:cs="宋体"/>
                <w:color w:val="000000"/>
                <w:kern w:val="0"/>
                <w:sz w:val="21"/>
                <w:szCs w:val="21"/>
                <w:highlight w:val="none"/>
                <w:lang w:bidi="ar"/>
              </w:rPr>
              <w:t>入网检测报告证明</w:t>
            </w:r>
            <w:r>
              <w:rPr>
                <w:rFonts w:hint="eastAsia" w:ascii="宋体" w:hAnsi="宋体" w:eastAsia="宋体" w:cs="宋体"/>
                <w:b/>
                <w:bCs/>
                <w:kern w:val="0"/>
                <w:sz w:val="21"/>
                <w:szCs w:val="21"/>
                <w:highlight w:val="none"/>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10</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核心交换机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bidi="ar"/>
              </w:rPr>
              <w:t>可用千兆电接口数量≥24，千兆光口数量≥24，万兆光接口数量≥8</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支持独立的console管理串口和miniUSB</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交换容量≥560Gbps</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转发性能≥222Mpps</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MAC地址表≥64K</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提供</w:t>
            </w:r>
            <w:r>
              <w:rPr>
                <w:rFonts w:hint="eastAsia" w:ascii="宋体" w:hAnsi="宋体" w:eastAsia="宋体" w:cs="宋体"/>
                <w:color w:val="000000"/>
                <w:kern w:val="0"/>
                <w:sz w:val="21"/>
                <w:szCs w:val="21"/>
                <w:highlight w:val="none"/>
                <w:lang w:eastAsia="zh-CN" w:bidi="ar"/>
              </w:rPr>
              <w:t>第三方检测机构出具的</w:t>
            </w:r>
            <w:r>
              <w:rPr>
                <w:rFonts w:hint="eastAsia" w:ascii="宋体" w:hAnsi="宋体" w:eastAsia="宋体" w:cs="宋体"/>
                <w:color w:val="000000"/>
                <w:kern w:val="0"/>
                <w:sz w:val="21"/>
                <w:szCs w:val="21"/>
                <w:highlight w:val="none"/>
                <w:lang w:bidi="ar"/>
              </w:rPr>
              <w:t>入网检测报告证明</w:t>
            </w:r>
            <w:r>
              <w:rPr>
                <w:rFonts w:hint="eastAsia" w:ascii="宋体" w:hAnsi="宋体" w:eastAsia="宋体" w:cs="宋体"/>
                <w:b/>
                <w:bCs/>
                <w:kern w:val="0"/>
                <w:sz w:val="21"/>
                <w:szCs w:val="21"/>
                <w:highlight w:val="none"/>
                <w:lang w:val="en-US" w:eastAsia="zh-CN"/>
              </w:rPr>
              <w:t>（投标文件商务、技术证明文件中附复印件）</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路由功能：支持OSPF/BGP</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IPv6路由功能：支持OSPFv3/BGP4+</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镜像：支持端口镜像</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支持接触放电≥4KV，支持空气放电≥8KV，并提供第三方检测报告证明</w:t>
            </w:r>
            <w:r>
              <w:rPr>
                <w:rFonts w:hint="eastAsia" w:ascii="宋体" w:hAnsi="宋体" w:eastAsia="宋体" w:cs="宋体"/>
                <w:b/>
                <w:bCs/>
                <w:kern w:val="0"/>
                <w:sz w:val="21"/>
                <w:szCs w:val="21"/>
                <w:highlight w:val="none"/>
                <w:lang w:val="en-US" w:eastAsia="zh-CN"/>
              </w:rPr>
              <w:t>（投标文件商务、技术证明文件中附复印件）</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支持线-地防浪涌等级≥2KV，并提供第三方检测报告证明</w:t>
            </w:r>
            <w:r>
              <w:rPr>
                <w:rFonts w:hint="eastAsia" w:ascii="宋体" w:hAnsi="宋体" w:eastAsia="宋体" w:cs="宋体"/>
                <w:b/>
                <w:bCs/>
                <w:kern w:val="0"/>
                <w:sz w:val="21"/>
                <w:szCs w:val="21"/>
                <w:highlight w:val="none"/>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420" w:type="pct"/>
            <w:noWrap w:val="0"/>
            <w:vAlign w:val="center"/>
          </w:tcPr>
          <w:p>
            <w:pPr>
              <w:widowControl/>
              <w:spacing w:line="360" w:lineRule="auto"/>
              <w:jc w:val="center"/>
              <w:textAlignment w:val="top"/>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813" w:type="pct"/>
            <w:noWrap w:val="0"/>
            <w:vAlign w:val="center"/>
          </w:tcPr>
          <w:p>
            <w:pPr>
              <w:widowControl/>
              <w:spacing w:line="360" w:lineRule="auto"/>
              <w:jc w:val="center"/>
              <w:rPr>
                <w:rFonts w:hint="eastAsia" w:ascii="宋体" w:hAnsi="宋体" w:eastAsia="宋体" w:cs="宋体"/>
                <w:kern w:val="0"/>
                <w:sz w:val="21"/>
                <w:szCs w:val="21"/>
              </w:rPr>
            </w:pPr>
            <w:r>
              <w:rPr>
                <w:rFonts w:hint="eastAsia" w:ascii="宋体" w:hAnsi="宋体" w:eastAsia="宋体" w:cs="宋体"/>
                <w:color w:val="000000"/>
                <w:kern w:val="0"/>
                <w:sz w:val="21"/>
                <w:szCs w:val="21"/>
              </w:rPr>
              <w:t>硬盘录像机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1.具有2个HDMI接口、2个VGA接口、2个RJ45网络接口、2个USB2.0接口、1个USB3.0接口、16路报警输入接口、8路报警输出接口，可内置16块SATA接口硬盘</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2.可接入10T容量的SATA接口硬盘；可接入AI硬盘。支持硬盘休眠</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支持多屏输出功能，可设置4屏显示输出视频图像，其中HDMI和VGA接口可同源输出视频图像，2个HDMI或2个VGA接口之间可异源输出视频图像，并可分别控制进行预览、回放、配置等操作，且均可显示系统主菜单。支持32/25/16/9/8/6/4/1分屏预览，可自定义画面分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4.支持1路H.265编码、25fps、8160×2400格式的视频实时预览</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5.NVR总资源为满负载条件下的最大接入带宽640Mbps、最大存储带宽640Mbps、最大转发带宽640Mbps、最大回放带宽640Mbps。最大接入路数32路</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支持组合报警模式，可设置将NVR的报警输入口关联IPC的报警事件，只有当两个报警事件同时触发才能产生报警，组合报警模式支持遮挡报警、移动侦测、人脸抓拍、人脸侦测、车辆检测、越界侦测、区域入侵侦测、进入/离开区域侦测、人员聚集侦测、快速移动侦测、物品遗留侦测、物品拿取侦测、停车侦测、徘徊侦测、场景变更侦测、虚焦侦测、音频异常侦测报警事件</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7.支持设备级联，NVR接入NVR、DVR、XVR设备，选择通道添加</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8.支持按年龄、性别、眼镜、上衣颜色、骑车、背包属性分组显示人员录像文件</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9.支持秒级检索查看硬盘中录像文件，秒级检索录像文件中的人员、车辆、人体等活动目标，并以弹窗形式来展示活动目标关联的录像片段</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10.支持对任一录像文件打标签，单个文件最大支持1024个标签，设备可添加的标签个数不少于8192</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11.支持实时查看设备状态，包括CPU使用率、内存使用率、CPU温度、机箱温度、风扇转速等；支持配置风扇全速、自动调速转动模式，自动调速转动模式可根据机箱温度自适应调节风扇转速</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12.支持RAID0、RAID1、RAID5、RAID6、RAID10、RAID50、RAID60、JBOD模式；支持一键创建RAID5阵列功能；支持全局热备功能，可指定多块硬盘为全局热备盘；当阵列内某块磁盘发生故障，热备盘自动替换故障盘进行磁盘阵列重构。可设置未进行读写操作的硬盘、Raid组自动处于休眠状态</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13.支持即时存储和回放功能，可回放设备断电、断网前一秒的录像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14.支持人脸侦测，接入带有人脸侦测报警功能的IPC，当触发报警时，可联动录像、抓拍并保存图片、弹出报警画面、声音警告、上传中心、发送邮件、触发报警输出，联动云台轮巡、联动云台预置点、记录日志；可按通道、时间检索图片</w:t>
            </w:r>
            <w:r>
              <w:rPr>
                <w:rFonts w:hint="eastAsia" w:ascii="宋体" w:hAnsi="宋体" w:eastAsia="宋体" w:cs="宋体"/>
                <w:color w:val="000000"/>
                <w:kern w:val="0"/>
                <w:sz w:val="21"/>
                <w:szCs w:val="21"/>
                <w:lang w:bidi="ar"/>
              </w:rPr>
              <w:br w:type="textWrapping"/>
            </w:r>
            <w:r>
              <w:rPr>
                <w:rFonts w:hint="eastAsia" w:ascii="宋体" w:hAnsi="宋体" w:eastAsia="宋体" w:cs="宋体"/>
                <w:kern w:val="0"/>
                <w:sz w:val="21"/>
                <w:szCs w:val="21"/>
              </w:rPr>
              <w:t>15.以上技术要求的第2、6、7、8、11项需提供</w:t>
            </w:r>
            <w:r>
              <w:rPr>
                <w:rFonts w:hint="eastAsia" w:ascii="宋体" w:hAnsi="宋体" w:eastAsia="宋体" w:cs="宋体"/>
                <w:kern w:val="0"/>
                <w:sz w:val="21"/>
                <w:szCs w:val="21"/>
                <w:lang w:eastAsia="zh-CN"/>
              </w:rPr>
              <w:t>第三方检测机构</w:t>
            </w:r>
            <w:r>
              <w:rPr>
                <w:rFonts w:hint="eastAsia" w:ascii="宋体" w:hAnsi="宋体" w:eastAsia="宋体" w:cs="宋体"/>
                <w:kern w:val="0"/>
                <w:sz w:val="21"/>
                <w:szCs w:val="21"/>
              </w:rPr>
              <w:t>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硬盘录像机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1.NVR总资源为满负载条件下的最大接入带宽640Mbps、最大存储带宽640Mbps、最大转发带宽640Mbps、最大回放带宽640Mbps。最大接入路数64路</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2.可接入10T容量的SATA接口硬盘；可接入AI硬盘。支持硬盘休眠</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3.支持秒级检索查看硬盘中录像文件，秒级检索录像文件中的人员、车辆、人体等活动目标，并以弹窗形式来展示活动目标关联的录像片段</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4.支持对任一录像文件打标签，单个文件最大支持1024个标签，设备可添加的标签个数不少于8192</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5.配合前端接入的智能摄像机，可在客户端视频画面上显示叠加的智能分析规则框，智能分析规则框大小和数量可随目标大小和数量自动调整，并随目标消失而消失</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6.支持实时查看设备状态，包括CPU使用率、内存使用率、CPU温度、机箱温度、风扇转速等；支持配置风扇全速、自动调速转动模式，自动调速转动模式可根据机箱温度自适应调节风扇转速</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支持多屏输出功能，可设置4屏显示输出视频图像，其中HDMI和VGA接口可同源输出视频图像，2个HDMI或2个VGA接口之间可异源输出视频图像，并可分别控制进行预览、回放、配置等操作，且均可显示系统主菜单。支持64/36/32/25/16/9/8/6/4/1分屏预览，可自定义画面分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8.支持开启RAID后，系统接入带宽、存储带宽、转发带宽、回放带宽不下降</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9.支持接入云台，并可以通过本地GUI或者客户端软件实现云台的8个方向的转动、变倍、聚焦、巡航功能、预置点的设置与调用等功能</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10.支持人脸侦测，接入带有人脸侦测报警功能的IPC，当触发报警时，可联动录像、抓拍并保存图片、弹出报警画面、声音警告、上传中心、发送邮件、触发报警输出，联动云台轮巡、联动云台预置点、记录日志；可按通道、时间检索图片</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11.支持设备级联，NVR接入NVR、DVR、XVR设备，选择通道添加</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12.支持本地预览权限的配置，设置权限后的通道只有登录后才会出现预览画面；支持远程预览加密，只有输入密钥才能解开视频。并支持码流加密；WEB界面远程登录设备，30分钟无操作，设备自动退出登录；</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13.支持按年龄、性别、眼镜、上衣颜色、骑车、背包属性分组显示人员录像文件</w:t>
            </w:r>
          </w:p>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14.内置16块6T硬盘</w:t>
            </w:r>
            <w:r>
              <w:rPr>
                <w:rFonts w:hint="eastAsia" w:ascii="宋体" w:hAnsi="宋体" w:eastAsia="宋体" w:cs="宋体"/>
                <w:color w:val="000000"/>
                <w:kern w:val="0"/>
                <w:sz w:val="21"/>
                <w:szCs w:val="21"/>
                <w:lang w:bidi="ar"/>
              </w:rPr>
              <w:br w:type="textWrapping"/>
            </w:r>
            <w:r>
              <w:rPr>
                <w:rFonts w:hint="eastAsia" w:ascii="宋体" w:hAnsi="宋体" w:eastAsia="宋体" w:cs="宋体"/>
                <w:kern w:val="0"/>
                <w:sz w:val="21"/>
                <w:szCs w:val="21"/>
              </w:rPr>
              <w:t>15.以上技术要求的第11</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12、</w:t>
            </w:r>
            <w:r>
              <w:rPr>
                <w:rFonts w:hint="eastAsia" w:ascii="宋体" w:hAnsi="宋体" w:eastAsia="宋体" w:cs="宋体"/>
                <w:kern w:val="0"/>
                <w:sz w:val="21"/>
                <w:szCs w:val="21"/>
              </w:rPr>
              <w:t>13项需提供</w:t>
            </w:r>
            <w:r>
              <w:rPr>
                <w:rFonts w:hint="eastAsia" w:ascii="宋体" w:hAnsi="宋体" w:eastAsia="宋体" w:cs="宋体"/>
                <w:kern w:val="0"/>
                <w:sz w:val="21"/>
                <w:szCs w:val="21"/>
                <w:lang w:eastAsia="zh-CN"/>
              </w:rPr>
              <w:t>第三方检测机</w:t>
            </w:r>
            <w:r>
              <w:rPr>
                <w:rFonts w:hint="eastAsia" w:ascii="宋体" w:hAnsi="宋体" w:eastAsia="宋体" w:cs="宋体"/>
                <w:kern w:val="0"/>
                <w:sz w:val="21"/>
                <w:szCs w:val="21"/>
              </w:rPr>
              <w:t>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5000" w:type="pct"/>
            <w:gridSpan w:val="5"/>
            <w:noWrap w:val="0"/>
            <w:vAlign w:val="top"/>
          </w:tcPr>
          <w:p>
            <w:pPr>
              <w:widowControl/>
              <w:spacing w:line="360" w:lineRule="auto"/>
              <w:jc w:val="left"/>
              <w:textAlignment w:val="top"/>
              <w:rPr>
                <w:rFonts w:hint="eastAsia" w:ascii="宋体" w:hAnsi="宋体" w:eastAsia="宋体" w:cs="宋体"/>
                <w:b/>
                <w:kern w:val="0"/>
                <w:sz w:val="21"/>
                <w:szCs w:val="21"/>
              </w:rPr>
            </w:pPr>
            <w:r>
              <w:rPr>
                <w:rFonts w:hint="eastAsia" w:ascii="宋体" w:hAnsi="宋体" w:eastAsia="宋体" w:cs="宋体"/>
                <w:b/>
                <w:kern w:val="0"/>
                <w:sz w:val="21"/>
                <w:szCs w:val="21"/>
              </w:rPr>
              <w:t>河朔校区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000" w:type="pct"/>
            <w:gridSpan w:val="5"/>
            <w:noWrap w:val="0"/>
            <w:vAlign w:val="top"/>
          </w:tcPr>
          <w:p>
            <w:pPr>
              <w:widowControl/>
              <w:spacing w:line="360" w:lineRule="auto"/>
              <w:jc w:val="left"/>
              <w:textAlignment w:val="top"/>
              <w:rPr>
                <w:rFonts w:hint="eastAsia" w:ascii="宋体" w:hAnsi="宋体" w:eastAsia="宋体" w:cs="宋体"/>
                <w:b/>
                <w:kern w:val="0"/>
                <w:sz w:val="21"/>
                <w:szCs w:val="21"/>
              </w:rPr>
            </w:pPr>
            <w:r>
              <w:rPr>
                <w:rFonts w:hint="eastAsia" w:ascii="宋体" w:hAnsi="宋体" w:eastAsia="宋体" w:cs="宋体"/>
                <w:b/>
                <w:kern w:val="0"/>
                <w:sz w:val="21"/>
                <w:szCs w:val="21"/>
              </w:rPr>
              <w:t>前端设备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400万全彩网络摄像机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1.具有≥400万像素 CMOS传感器。</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2.具有不小于1/1.8"靶面尺寸。</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3.内置≥2颗白光补光灯。</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4.最低照度彩色：≤0.0004 lx。</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5.白天或夜晚均可输出彩色视频图像。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6.在2560x1440 @ 25fps下，清晰度不小于1400TVL。</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7.支持H.264、H.265、MJPEG视频编码格式，其中H.264支持Baseline/Main/High Profile。</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8.信噪比不小于62dB。</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9.需具有大于140分的宽动态能力。</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10.摄像机能够在-30~60摄氏度，湿度小于93%环境下稳定工作。</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11.不低于IP67防尘防水等级。</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12.需支持DC12V供电，且在不小于DC12V±30%范围内变化时可以正常工作。</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13.设备工作状态时，支持空气放电9kV，接触放电7kV，通讯端口支持6kV峰值电压。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14.同一静止场景相同图像质量下，设备在H.265编码方式时，开启智能编码功能和不开启智能编码相比，码率节约80%。</w:t>
            </w:r>
            <w:r>
              <w:rPr>
                <w:rFonts w:hint="eastAsia" w:ascii="宋体" w:hAnsi="宋体" w:eastAsia="宋体" w:cs="宋体"/>
                <w:color w:val="000000"/>
                <w:kern w:val="0"/>
                <w:sz w:val="21"/>
                <w:szCs w:val="21"/>
                <w:lang w:bidi="ar"/>
              </w:rPr>
              <w:br w:type="textWrapping"/>
            </w:r>
            <w:r>
              <w:rPr>
                <w:rFonts w:hint="eastAsia" w:ascii="宋体" w:hAnsi="宋体" w:eastAsia="宋体" w:cs="宋体"/>
                <w:kern w:val="0"/>
                <w:sz w:val="21"/>
                <w:szCs w:val="21"/>
              </w:rPr>
              <w:t>15.以上技术要求的第2、4、5项需提供第三方检测机构出具的检测报告复印件加盖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spacing w:line="360" w:lineRule="auto"/>
              <w:jc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813" w:type="pct"/>
            <w:noWrap w:val="0"/>
            <w:vAlign w:val="center"/>
          </w:tcPr>
          <w:p>
            <w:pPr>
              <w:spacing w:line="360" w:lineRule="auto"/>
              <w:jc w:val="center"/>
              <w:rPr>
                <w:rFonts w:hint="eastAsia" w:ascii="宋体" w:hAnsi="宋体" w:eastAsia="宋体" w:cs="宋体"/>
                <w:sz w:val="21"/>
                <w:szCs w:val="21"/>
              </w:rPr>
            </w:pPr>
            <w:r>
              <w:rPr>
                <w:rFonts w:hint="eastAsia" w:ascii="宋体" w:hAnsi="宋体" w:eastAsia="宋体" w:cs="宋体"/>
                <w:kern w:val="0"/>
                <w:sz w:val="21"/>
                <w:szCs w:val="21"/>
              </w:rPr>
              <w:t>400万全彩网络半球摄像机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1.具有≥400万像素 CMOS传感器。</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2.最大分辨率2560x1440。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3.红外补光距离不小于50米。</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4.需支持三码流技术，可同时输出三路码流，主码流最高2560x1440@25fps，第三码流最大2560x1440 @ 25fps，子码流5.704x576@25fps。</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5.在2560x1440 @ 25fps下，清晰度不小于1400TVL。</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6.支持H.264、H.265、MJPEG视频编码格式，且具有High Profile编码能力。</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7.摄像机能够在-30~60摄氏度，湿度小于93%环境下稳定工作。</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8.设备与客户端之间用100米网线进行传输，数据包丢包率小于0.1%。</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9.不低于IP67防尘防水等级。</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10.需支持DC12V供电，且在不小于DC12V±30%范围内变化时可以正常工作。</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11.同一静止场景相同图像质量下，设备在H.265编码方式时，开启智能编码功能和不开启智能编码相比，码率节约1/2。</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12.设备工作状态时，支持空气放电8kV，接触放电6kV，通讯端口支持6kV峰值电压。</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摄像机支架</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壁装支架/白/铝合金</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摄像机电源</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国标,12V1A输出,Φ2.1圆头，桌面式，输入350mm,输出800mm</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输入电压：AC170V~240V</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全彩智能球机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1.视频输出支持2560×1440@25fps，分辨力不小于1400TVL，红外距离可达300米</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2.支持最低照度可达彩色≤0.0003Lux，黑白≤0.0001Lux，支持≥23倍光学变焦</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3.水平旋转范围为360°连续旋转，垂直旋转范围为-20°~90°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4.可通过IE浏览器设置8个场景进行人脸抓拍，可设置每个场景的布防时间。</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5.当通过IE浏览器手动点击或框选预览画面中的人脸时，设备能通过PTZ转动将人脸置于画面中心，并对人脸进行抓拍。</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6.可通过IE浏览器实时预览设备抓拍的人脸图片，并可在历史记录中存储不小于100张人脸抓拍图片。</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7.设备可对监视画面中不小于30张人脸进行检测、跟踪和抓拍。</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8.支持≥300个预置位，可按照所设置的预置位完成不小于8条巡航路径，支持不小于4条模式路径设置，支持预置位视频冻结功能；可实现RS485接口优先或RJ45网络接口优先控制功能</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9.具备较好的防护性能环境适应性，支持≥IP67，6kV防浪涌，工作温度范围可达-40℃-70℃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10.具备较好的电源适应性，电压在AC24V±30%范围内变化时，设备可正常工作</w:t>
            </w:r>
            <w:r>
              <w:rPr>
                <w:rFonts w:hint="eastAsia" w:ascii="宋体" w:hAnsi="宋体" w:eastAsia="宋体" w:cs="宋体"/>
                <w:color w:val="000000"/>
                <w:kern w:val="0"/>
                <w:sz w:val="21"/>
                <w:szCs w:val="21"/>
                <w:lang w:bidi="ar"/>
              </w:rPr>
              <w:br w:type="textWrapping"/>
            </w:r>
            <w:r>
              <w:rPr>
                <w:rFonts w:hint="eastAsia" w:ascii="宋体" w:hAnsi="宋体" w:eastAsia="宋体" w:cs="宋体"/>
                <w:kern w:val="0"/>
                <w:sz w:val="21"/>
                <w:szCs w:val="21"/>
              </w:rPr>
              <w:t>11.以上技术要求的第4</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5、6、</w:t>
            </w:r>
            <w:r>
              <w:rPr>
                <w:rFonts w:hint="eastAsia" w:ascii="宋体" w:hAnsi="宋体" w:eastAsia="宋体" w:cs="宋体"/>
                <w:kern w:val="0"/>
                <w:sz w:val="21"/>
                <w:szCs w:val="21"/>
              </w:rPr>
              <w:t>7项需提供第三方检测机构出具的检测报告复印件加盖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支架</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壁装支架/铝合金</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000" w:type="pct"/>
            <w:gridSpan w:val="5"/>
            <w:noWrap w:val="0"/>
            <w:vAlign w:val="center"/>
          </w:tcPr>
          <w:p>
            <w:pPr>
              <w:widowControl/>
              <w:spacing w:line="360" w:lineRule="auto"/>
              <w:jc w:val="left"/>
              <w:textAlignment w:val="top"/>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监控中心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H.265解码器</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1.采用嵌入式架构，专用Linux系统，使用DSP解码。</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要求设备具备，20个RJ45网络接口，1路语音输入，1路语音输出，1个RS232接口，1个RS485接口，8路报警输入，8路报警输出，1个VGA视频输入接口，1个DVI-I视频输入接口。输出口支持4个HDMI接口，支持8路模拟音频输出，支持4路模拟CVBS视频输出。</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3.具有1个电源指示灯，2个硬盘指示灯。</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4.可通过客户端软件将显示窗口在多个显示屏间进行拖动或跨屏显示，并可调节显示窗口大小。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5.可将视频图像进行轮巡输出显示，并可在客户端软件设置轮巡计划。支持1、2、4、6、8、9、10、12、16、25画面分割显示。</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6.可通过客户端软件对接入的云台进行控制；可通过RS-485接口连接键盘实现键盘对接入的云台进行控制。</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可对以下分辨率的视频图像进行解码后输出：4路分辨率为4000×3000（20fps）的视频图像；8路分辨率为4096×2160（25fps）的视频图像；8路分辨率为3840×2160（25fps）的视频图像；12路分辨率为2592×1944（30fps）的视频图像；20路分辨率为2048×1536（30fps）的视频图像；32路分辨率为1920×1080（30fps）的视频图像；64路分辨率为1280×720（30fps）的视频图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8.可对以下编码格式的视频图像进行解码后输出：H.264、H.265、Smart264、Smart265、MPEG4视频图像。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9.设备接入具有智能行为分析功能的摄像机，可解码显示智能行为分析信息，包括移动侦测、越界入侵、区域入侵、起身离开等，并上传报警信息。</w:t>
            </w:r>
            <w:r>
              <w:rPr>
                <w:rFonts w:hint="eastAsia" w:ascii="宋体" w:hAnsi="宋体" w:eastAsia="宋体" w:cs="宋体"/>
                <w:color w:val="000000"/>
                <w:kern w:val="0"/>
                <w:sz w:val="21"/>
                <w:szCs w:val="21"/>
                <w:lang w:bidi="ar"/>
              </w:rPr>
              <w:br w:type="textWrapping"/>
            </w:r>
            <w:r>
              <w:rPr>
                <w:rFonts w:hint="eastAsia" w:ascii="宋体" w:hAnsi="宋体" w:eastAsia="宋体" w:cs="宋体"/>
                <w:kern w:val="0"/>
                <w:sz w:val="21"/>
                <w:szCs w:val="21"/>
              </w:rPr>
              <w:t>12.以上技术要求的第2、7、8、9项需提供第三方检测机构出具的检测报告复印件加盖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4K监视器</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55寸4K液晶监视器，金属外观，</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显示：LED背光；物理分辨率3840×2160；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亮度450cd/㎡；对比度1300:1，功耗：≤138W，</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裸机尺寸 (W*H*D)(mm)：1237.20 mm*708 mm*75.74mm，</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接口：1个VGA输入接口，1个HDMI输入接口，1个DVI输入接口，1个DP输入接口，1个USB输入接口（用于升级，不支持USB播放），2个3.5mm音频接口（输入/输出），2个RS232接口（输入/输出）</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监视器支架</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壁挂支架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架</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网络键盘</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1.Android操作系统,分辨率：≥1280*720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2.屏幕尺寸≥10.2英寸;屏幕类型：触控屏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3.屏幕区和摇杆区采用可拆分结构，摇杆和触控屏可分离使用。</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4.支持添加设备数量≥8000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5.支持上下、左右、变倍和抓图四维控制功能。</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6.支持有线和无线Wifi网络连接</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7.支持4路1080P视频解码显示,最大16画面分割显示,支持在触摸屏幕上预览前端图像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8.支持DVI和HDMI接口外接显示设备实现图像预览</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9.支持音频输入/出口,支持2个USB口</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10.支持接入DVR、DVS、NVR、网络摄像机、球机设备,支持语音对讲</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11.支持在键盘显示屏上显示电视墙当前整体布局。</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12.连接云台设备时，可通过摇杆或触控屏实现云台设备控制功能，支持预置位、自动巡航、模式路径、光圈调节、变焦、雨刷、灯光等功能。</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13.开机时间≤35秒,延时≤190毫秒；</w:t>
            </w:r>
            <w:r>
              <w:rPr>
                <w:rFonts w:hint="eastAsia" w:ascii="宋体" w:hAnsi="宋体" w:eastAsia="宋体" w:cs="宋体"/>
                <w:color w:val="000000"/>
                <w:kern w:val="0"/>
                <w:sz w:val="21"/>
                <w:szCs w:val="21"/>
                <w:lang w:bidi="ar"/>
              </w:rPr>
              <w:br w:type="textWrapping"/>
            </w:r>
            <w:r>
              <w:rPr>
                <w:rFonts w:hint="eastAsia" w:ascii="宋体" w:hAnsi="宋体" w:eastAsia="宋体" w:cs="宋体"/>
                <w:kern w:val="0"/>
                <w:sz w:val="21"/>
                <w:szCs w:val="21"/>
              </w:rPr>
              <w:t>14.以上技术要求的第1、3、4、13项需提供第三方检测机构出具的检测报告复印件加盖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8口千兆二层非网管型交换机</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机架式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提供8个10/100/1000M自适应RJ45电口</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1个千兆SFP光口</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支持IEEE802.3、IEEE802.3u、IEEE802.3x</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全千兆网络设计</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线速转发、无阻塞设计</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存储转发交换方式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超过10万小时的平均无故障时间</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汇聚交换机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24口千兆二层非网管型交换机</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机架式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提供24个10/100/1000M自适应RJ45电口</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1个千兆SFP光口 支持IEEE802.3、IEEE802.3u、IEEE802.3x</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全千兆网络设计 线速转发、无阻塞设计</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存储转发交换方式</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超过10万小时的平均无故障时间</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可靠性高</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核心交换机</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bidi="ar"/>
              </w:rPr>
              <w:t>可用千兆光接口数量≥24，复用千兆光电接口数量≥8，万兆接口数≥4</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支持独立的console管理串口</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交换容量≥256Gbps</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转发性能≥96Mpps</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提供</w:t>
            </w:r>
            <w:r>
              <w:rPr>
                <w:rFonts w:hint="eastAsia" w:ascii="宋体" w:hAnsi="宋体" w:eastAsia="宋体" w:cs="宋体"/>
                <w:color w:val="000000"/>
                <w:kern w:val="0"/>
                <w:sz w:val="21"/>
                <w:szCs w:val="21"/>
                <w:highlight w:val="none"/>
                <w:lang w:eastAsia="zh-CN" w:bidi="ar"/>
              </w:rPr>
              <w:t>第三方检测机构出具的</w:t>
            </w:r>
            <w:r>
              <w:rPr>
                <w:rFonts w:hint="eastAsia" w:ascii="宋体" w:hAnsi="宋体" w:eastAsia="宋体" w:cs="宋体"/>
                <w:color w:val="000000"/>
                <w:kern w:val="0"/>
                <w:sz w:val="21"/>
                <w:szCs w:val="21"/>
                <w:highlight w:val="none"/>
                <w:lang w:bidi="ar"/>
              </w:rPr>
              <w:t>入网检测报告证明</w:t>
            </w:r>
            <w:r>
              <w:rPr>
                <w:rFonts w:hint="eastAsia" w:ascii="宋体" w:hAnsi="宋体" w:eastAsia="宋体" w:cs="宋体"/>
                <w:b/>
                <w:bCs/>
                <w:kern w:val="0"/>
                <w:sz w:val="21"/>
                <w:szCs w:val="21"/>
                <w:highlight w:val="none"/>
                <w:lang w:val="en-US" w:eastAsia="zh-CN"/>
              </w:rPr>
              <w:t>（投标文件商务、技术证明文件中附复印件）</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支持模块化电源数量≥2</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聚合：支持链路聚合</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vlan：支持基于端口的VLAN</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路由功能：支持IPv4/v6静态路由</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镜像：支持端口镜像</w:t>
            </w:r>
            <w:r>
              <w:rPr>
                <w:rFonts w:hint="eastAsia" w:ascii="宋体" w:hAnsi="宋体" w:eastAsia="宋体" w:cs="宋体"/>
                <w:color w:val="000000"/>
                <w:kern w:val="0"/>
                <w:sz w:val="21"/>
                <w:szCs w:val="21"/>
                <w:highlight w:val="none"/>
                <w:lang w:bidi="ar"/>
              </w:rPr>
              <w:br w:type="textWrapping"/>
            </w:r>
            <w:r>
              <w:rPr>
                <w:rFonts w:hint="eastAsia" w:ascii="宋体" w:hAnsi="宋体" w:eastAsia="宋体" w:cs="宋体"/>
                <w:color w:val="000000"/>
                <w:kern w:val="0"/>
                <w:sz w:val="21"/>
                <w:szCs w:val="21"/>
                <w:highlight w:val="none"/>
                <w:lang w:bidi="ar"/>
              </w:rPr>
              <w:t>支持基于源MAC地址、目的MAC地址、源IP地址、目的IP地址、IP协议类型、TCP/UDP端口、TCP/UDP端口范围、VLAN等定义ACL</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硬盘录像机</w:t>
            </w:r>
          </w:p>
        </w:tc>
        <w:tc>
          <w:tcPr>
            <w:tcW w:w="2874" w:type="pct"/>
            <w:noWrap w:val="0"/>
            <w:vAlign w:val="center"/>
          </w:tcPr>
          <w:p>
            <w:pPr>
              <w:widowControl/>
              <w:numPr>
                <w:ilvl w:val="0"/>
                <w:numId w:val="3"/>
              </w:numPr>
              <w:spacing w:line="360" w:lineRule="auto"/>
              <w:jc w:val="left"/>
              <w:textAlignment w:val="top"/>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NVR总资源为满负载条件下的最大接入带宽640Mbps、最大存储带宽640Mbps、最大转发带宽640Mbps、最大回放带宽640Mbps。最大接入路数64路</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2.可接入10T容量的SATA接口硬盘；可接入AI硬盘。支持硬盘休眠</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3.支持秒级检索查看硬盘中录像文件，秒级检索录像文件中的人员、车辆、人体等活动目标，并以弹窗形式来展示活动目标关联的录像片段</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4.支持对任一录像文件打标签，单个文件最大支持1024个标签，设备可添加的标签个数不少于8192</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5.配合前端接入的智能摄像机，可在客户端视频画面上显示叠加的智能分析规则框，智能分析规则框大小和数量可随目标大小和数量自动调整，并随目标消失而消失</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6.支持实时查看设备状态，包括CPU使用率、内存使用率、CPU温度、机箱温度、风扇转速等；支持配置风扇全速、自动调速转动模式，自动调速转动模式可根据机箱温度自适应调节风扇转速时间检索图片</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7.支持设备级联，NVR接入NVR、DVR、XVR设备，选择通道添加</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8.支持本地预览权限的配置，设置权限后的通道只有登录后才会出现预览画面；支持远程预览加密，只有输入密钥才能解开视频。并支持码流加密；WEB界面远程登录设备，30分钟无操作，设备自动退出登录；</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9.支持按年龄、性别、眼镜、上衣颜色、骑车、背包属性分组显示人员录像文件</w:t>
            </w:r>
          </w:p>
          <w:p>
            <w:pPr>
              <w:widowControl/>
              <w:spacing w:line="360" w:lineRule="auto"/>
              <w:jc w:val="left"/>
              <w:textAlignment w:val="top"/>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10.内置16块6T硬盘</w:t>
            </w:r>
            <w:r>
              <w:rPr>
                <w:rFonts w:hint="eastAsia" w:ascii="宋体" w:hAnsi="宋体" w:eastAsia="宋体" w:cs="宋体"/>
                <w:color w:val="000000"/>
                <w:kern w:val="0"/>
                <w:sz w:val="21"/>
                <w:szCs w:val="21"/>
                <w:lang w:bidi="ar"/>
              </w:rPr>
              <w:br w:type="textWrapping"/>
            </w:r>
            <w:r>
              <w:rPr>
                <w:rFonts w:hint="eastAsia" w:ascii="宋体" w:hAnsi="宋体" w:eastAsia="宋体" w:cs="宋体"/>
                <w:kern w:val="0"/>
                <w:sz w:val="21"/>
                <w:szCs w:val="21"/>
              </w:rPr>
              <w:t>11.以上技术要求的第7</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8、</w:t>
            </w:r>
            <w:r>
              <w:rPr>
                <w:rFonts w:hint="eastAsia" w:ascii="宋体" w:hAnsi="宋体" w:eastAsia="宋体" w:cs="宋体"/>
                <w:kern w:val="0"/>
                <w:sz w:val="21"/>
                <w:szCs w:val="21"/>
              </w:rPr>
              <w:t>9项需提供第三方检测机构出具的检测报告复印件加盖</w:t>
            </w:r>
            <w:r>
              <w:rPr>
                <w:rFonts w:hint="eastAsia" w:ascii="宋体" w:hAnsi="宋体" w:eastAsia="宋体" w:cs="宋体"/>
                <w:kern w:val="0"/>
                <w:sz w:val="21"/>
                <w:szCs w:val="21"/>
                <w:lang w:val="en-US" w:eastAsia="zh-CN"/>
              </w:rPr>
              <w:t>制造商</w:t>
            </w:r>
            <w:r>
              <w:rPr>
                <w:rFonts w:hint="eastAsia" w:ascii="宋体" w:hAnsi="宋体" w:eastAsia="宋体" w:cs="宋体"/>
                <w:kern w:val="0"/>
                <w:sz w:val="21"/>
                <w:szCs w:val="21"/>
              </w:rPr>
              <w:t>公章</w:t>
            </w:r>
            <w:r>
              <w:rPr>
                <w:rFonts w:hint="eastAsia" w:ascii="宋体" w:hAnsi="宋体" w:eastAsia="宋体" w:cs="宋体"/>
                <w:kern w:val="0"/>
                <w:sz w:val="21"/>
                <w:szCs w:val="21"/>
                <w:lang w:eastAsia="zh-CN"/>
              </w:rPr>
              <w:t>。</w:t>
            </w:r>
            <w:r>
              <w:rPr>
                <w:rFonts w:hint="eastAsia" w:ascii="宋体" w:hAnsi="宋体" w:eastAsia="宋体" w:cs="宋体"/>
                <w:b/>
                <w:bCs/>
                <w:kern w:val="0"/>
                <w:sz w:val="21"/>
                <w:szCs w:val="21"/>
                <w:lang w:val="en-US" w:eastAsia="zh-CN"/>
              </w:rPr>
              <w:t>（投标文件商务、技术证明文件中附复印件）</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硬盘录像机</w:t>
            </w:r>
          </w:p>
        </w:tc>
        <w:tc>
          <w:tcPr>
            <w:tcW w:w="2874" w:type="pct"/>
            <w:noWrap w:val="0"/>
            <w:vAlign w:val="center"/>
          </w:tcPr>
          <w:p>
            <w:pPr>
              <w:widowControl/>
              <w:spacing w:line="360" w:lineRule="auto"/>
              <w:jc w:val="left"/>
              <w:textAlignment w:val="top"/>
              <w:rPr>
                <w:rFonts w:hint="eastAsia" w:ascii="宋体" w:hAnsi="宋体" w:eastAsia="宋体" w:cs="宋体"/>
                <w:sz w:val="21"/>
                <w:szCs w:val="21"/>
              </w:rPr>
            </w:pPr>
            <w:r>
              <w:rPr>
                <w:rFonts w:hint="eastAsia" w:ascii="宋体" w:hAnsi="宋体" w:eastAsia="宋体" w:cs="宋体"/>
                <w:color w:val="000000"/>
                <w:kern w:val="0"/>
                <w:sz w:val="21"/>
                <w:szCs w:val="21"/>
                <w:lang w:bidi="ar"/>
              </w:rPr>
              <w:t>具有1个HDMI接口、1个VGA接口、2个RJ45网络接口、2个USB2.0接口、1个USB3.0接口、16路报警输入接口、8路报警输出接口，可内置4块SATA接口硬盘</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硬盘录像机</w:t>
            </w:r>
          </w:p>
        </w:tc>
        <w:tc>
          <w:tcPr>
            <w:tcW w:w="2874" w:type="pct"/>
            <w:noWrap w:val="0"/>
            <w:vAlign w:val="center"/>
          </w:tcPr>
          <w:p>
            <w:pPr>
              <w:widowControl/>
              <w:spacing w:line="360" w:lineRule="auto"/>
              <w:jc w:val="left"/>
              <w:textAlignment w:val="top"/>
              <w:rPr>
                <w:rFonts w:hint="eastAsia" w:ascii="宋体" w:hAnsi="宋体" w:eastAsia="宋体" w:cs="宋体"/>
                <w:sz w:val="21"/>
                <w:szCs w:val="21"/>
              </w:rPr>
            </w:pPr>
            <w:r>
              <w:rPr>
                <w:rFonts w:hint="eastAsia" w:ascii="宋体" w:hAnsi="宋体" w:eastAsia="宋体" w:cs="宋体"/>
                <w:color w:val="000000"/>
                <w:kern w:val="0"/>
                <w:sz w:val="21"/>
                <w:szCs w:val="21"/>
                <w:lang w:bidi="ar"/>
              </w:rPr>
              <w:t>具有2个HDMI接口、2个VGA接口、2个RJ45网络接口、2个USB2.0接口、1个USB3.0接口、16路报警输入接口、8路报警输出接口，可内置8块SATA接口硬盘</w:t>
            </w:r>
          </w:p>
        </w:tc>
        <w:tc>
          <w:tcPr>
            <w:tcW w:w="386"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000" w:type="pct"/>
            <w:gridSpan w:val="5"/>
            <w:noWrap w:val="0"/>
            <w:vAlign w:val="center"/>
          </w:tcPr>
          <w:p>
            <w:pPr>
              <w:spacing w:line="360" w:lineRule="auto"/>
              <w:jc w:val="left"/>
              <w:rPr>
                <w:rFonts w:hint="eastAsia" w:ascii="宋体" w:hAnsi="宋体" w:eastAsia="宋体" w:cs="宋体"/>
                <w:sz w:val="21"/>
                <w:szCs w:val="21"/>
              </w:rPr>
            </w:pPr>
            <w:r>
              <w:rPr>
                <w:rFonts w:hint="eastAsia" w:ascii="宋体" w:hAnsi="宋体" w:eastAsia="宋体" w:cs="宋体"/>
                <w:b/>
                <w:bCs/>
                <w:sz w:val="21"/>
                <w:szCs w:val="21"/>
              </w:rPr>
              <w:t>线路改造及辅材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光纤</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国标 12芯单模电信级光缆</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米</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电源线</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国标 RVV2*1.5、无氧铜</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米</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网线</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双绞线超五类网线0.5mm无氧铜，PE保护套</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米</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光纤收发器</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25KM百兆单模单纤收发器</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无线网桥</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5G 无线速率867M 传输距离5KM</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防水箱</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201不锈钢 规格尺寸根据实际情况定制</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配电箱</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201不锈钢 规格尺寸根据实际情况定制</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监控立杆</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Q235的冷轧钢板</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机柜</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规格尺寸根据实际情况定制</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420"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813" w:type="pct"/>
            <w:noWrap w:val="0"/>
            <w:vAlign w:val="center"/>
          </w:tcPr>
          <w:p>
            <w:pPr>
              <w:widowControl/>
              <w:spacing w:line="360" w:lineRule="auto"/>
              <w:jc w:val="center"/>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辅材</w:t>
            </w:r>
          </w:p>
        </w:tc>
        <w:tc>
          <w:tcPr>
            <w:tcW w:w="2874"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穿线管、线夹、绑扎固定、空开、排插、二级插头、软管、水晶头等</w:t>
            </w:r>
          </w:p>
        </w:tc>
        <w:tc>
          <w:tcPr>
            <w:tcW w:w="386"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批</w:t>
            </w:r>
          </w:p>
        </w:tc>
        <w:tc>
          <w:tcPr>
            <w:tcW w:w="505" w:type="pct"/>
            <w:noWrap w:val="0"/>
            <w:vAlign w:val="center"/>
          </w:tcPr>
          <w:p>
            <w:pPr>
              <w:widowControl/>
              <w:spacing w:line="360" w:lineRule="auto"/>
              <w:jc w:val="left"/>
              <w:textAlignment w:val="top"/>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bl>
    <w:p>
      <w:pPr>
        <w:pStyle w:val="2"/>
        <w:rPr>
          <w:rFonts w:hint="eastAsia"/>
        </w:rPr>
      </w:pPr>
    </w:p>
    <w:p>
      <w:pPr>
        <w:widowControl/>
        <w:numPr>
          <w:ilvl w:val="0"/>
          <w:numId w:val="0"/>
        </w:numPr>
        <w:adjustRightInd w:val="0"/>
        <w:snapToGrid w:val="0"/>
        <w:spacing w:line="360" w:lineRule="auto"/>
        <w:ind w:leftChars="0"/>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lang w:val="en-US" w:eastAsia="zh-CN"/>
        </w:rPr>
        <w:t>四、</w:t>
      </w:r>
      <w:r>
        <w:rPr>
          <w:rFonts w:hint="eastAsia" w:ascii="宋体" w:hAnsi="宋体" w:eastAsia="宋体" w:cs="宋体"/>
          <w:b/>
          <w:color w:val="000000"/>
          <w:kern w:val="0"/>
          <w:sz w:val="21"/>
          <w:szCs w:val="21"/>
        </w:rPr>
        <w:t>需要落实的政府采购政策</w:t>
      </w:r>
    </w:p>
    <w:p>
      <w:pPr>
        <w:numPr>
          <w:ilvl w:val="1"/>
          <w:numId w:val="4"/>
        </w:numPr>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促进中小企业、监狱企业和残疾人福利性单位发展扶持政策</w:t>
      </w:r>
    </w:p>
    <w:p>
      <w:pPr>
        <w:numPr>
          <w:ilvl w:val="2"/>
          <w:numId w:val="5"/>
        </w:num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小型和微型企业认定：</w:t>
      </w:r>
    </w:p>
    <w:p>
      <w:pPr>
        <w:numPr>
          <w:ilvl w:val="0"/>
          <w:numId w:val="6"/>
        </w:num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提供本企业制造的货物、承担的工程或服务的，或者提供其他小型或者微型企业制造的货物的；</w:t>
      </w:r>
    </w:p>
    <w:p>
      <w:pPr>
        <w:numPr>
          <w:ilvl w:val="0"/>
          <w:numId w:val="6"/>
        </w:num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sz w:val="21"/>
          <w:szCs w:val="21"/>
        </w:rPr>
        <w:t>提供由供应商企业所在地的县级及以上中小企业主管部门出具的</w:t>
      </w:r>
      <w:r>
        <w:rPr>
          <w:rFonts w:hint="eastAsia" w:ascii="宋体" w:hAnsi="宋体" w:eastAsia="宋体" w:cs="宋体"/>
          <w:bCs/>
          <w:sz w:val="21"/>
          <w:szCs w:val="21"/>
          <w:lang w:eastAsia="zh-CN"/>
        </w:rPr>
        <w:t>中小企业认定的证明材料</w:t>
      </w:r>
      <w:r>
        <w:rPr>
          <w:rFonts w:hint="eastAsia" w:ascii="宋体" w:hAnsi="宋体" w:eastAsia="宋体" w:cs="宋体"/>
          <w:bCs/>
          <w:color w:val="auto"/>
          <w:sz w:val="21"/>
          <w:szCs w:val="21"/>
        </w:rPr>
        <w:t>（</w:t>
      </w:r>
      <w:r>
        <w:rPr>
          <w:rFonts w:hint="eastAsia" w:ascii="宋体" w:hAnsi="宋体" w:eastAsia="宋体" w:cs="宋体"/>
          <w:b/>
          <w:bCs/>
          <w:color w:val="auto"/>
          <w:kern w:val="0"/>
          <w:sz w:val="21"/>
          <w:szCs w:val="21"/>
        </w:rPr>
        <w:t>投标文件商务、技术证明文件正本中提供复印件加盖投标人公章，副本中可为正本的复印件，</w:t>
      </w:r>
      <w:r>
        <w:rPr>
          <w:rFonts w:hint="eastAsia" w:ascii="宋体" w:hAnsi="宋体" w:eastAsia="宋体" w:cs="宋体"/>
          <w:b/>
          <w:bCs/>
          <w:color w:val="auto"/>
          <w:sz w:val="21"/>
          <w:szCs w:val="21"/>
        </w:rPr>
        <w:t>原件核查）</w:t>
      </w:r>
      <w:r>
        <w:rPr>
          <w:rFonts w:hint="eastAsia" w:ascii="宋体" w:hAnsi="宋体" w:eastAsia="宋体" w:cs="宋体"/>
          <w:bCs/>
          <w:color w:val="auto"/>
          <w:sz w:val="21"/>
          <w:szCs w:val="21"/>
        </w:rPr>
        <w:t>和中小企业声明函</w:t>
      </w:r>
      <w:r>
        <w:rPr>
          <w:rFonts w:hint="eastAsia" w:ascii="宋体" w:hAnsi="宋体" w:eastAsia="宋体" w:cs="宋体"/>
          <w:b/>
          <w:bCs/>
          <w:color w:val="auto"/>
          <w:sz w:val="21"/>
          <w:szCs w:val="21"/>
        </w:rPr>
        <w:t>（原件附</w:t>
      </w:r>
      <w:r>
        <w:rPr>
          <w:rFonts w:hint="eastAsia" w:ascii="宋体" w:hAnsi="宋体" w:eastAsia="宋体" w:cs="宋体"/>
          <w:b/>
          <w:bCs/>
          <w:color w:val="auto"/>
          <w:kern w:val="0"/>
          <w:sz w:val="21"/>
          <w:szCs w:val="21"/>
        </w:rPr>
        <w:t>投标文件商务、技术证明文件正本中</w:t>
      </w:r>
      <w:r>
        <w:rPr>
          <w:rFonts w:hint="eastAsia" w:ascii="宋体" w:hAnsi="宋体" w:eastAsia="宋体" w:cs="宋体"/>
          <w:b/>
          <w:bCs/>
          <w:color w:val="auto"/>
          <w:sz w:val="21"/>
          <w:szCs w:val="21"/>
        </w:rPr>
        <w:t>，副本可以为正本的复印件）</w:t>
      </w:r>
      <w:r>
        <w:rPr>
          <w:rFonts w:hint="eastAsia" w:ascii="宋体" w:hAnsi="宋体" w:eastAsia="宋体" w:cs="宋体"/>
          <w:bCs/>
          <w:color w:val="auto"/>
          <w:sz w:val="21"/>
          <w:szCs w:val="21"/>
        </w:rPr>
        <w:t>；供应商提供其他企业制造的货物的除需提供本企业的</w:t>
      </w:r>
      <w:r>
        <w:rPr>
          <w:rFonts w:hint="eastAsia" w:ascii="宋体" w:hAnsi="宋体" w:eastAsia="宋体" w:cs="宋体"/>
          <w:bCs/>
          <w:color w:val="auto"/>
          <w:sz w:val="21"/>
          <w:szCs w:val="21"/>
          <w:lang w:eastAsia="zh-CN"/>
        </w:rPr>
        <w:t>中小企业认定的证明材料</w:t>
      </w:r>
      <w:r>
        <w:rPr>
          <w:rFonts w:hint="eastAsia" w:ascii="宋体" w:hAnsi="宋体" w:eastAsia="宋体" w:cs="宋体"/>
          <w:bCs/>
          <w:color w:val="auto"/>
          <w:sz w:val="21"/>
          <w:szCs w:val="21"/>
        </w:rPr>
        <w:t>和中小企业声明函外，还需提供其他企业所在地的县级及以上中小企业主管部门出具的</w:t>
      </w:r>
      <w:r>
        <w:rPr>
          <w:rFonts w:hint="eastAsia" w:ascii="宋体" w:hAnsi="宋体" w:eastAsia="宋体" w:cs="宋体"/>
          <w:bCs/>
          <w:color w:val="auto"/>
          <w:sz w:val="21"/>
          <w:szCs w:val="21"/>
          <w:lang w:eastAsia="zh-CN"/>
        </w:rPr>
        <w:t>中小企业认定的证明材料</w:t>
      </w:r>
      <w:r>
        <w:rPr>
          <w:rFonts w:hint="eastAsia" w:ascii="宋体" w:hAnsi="宋体" w:eastAsia="宋体" w:cs="宋体"/>
          <w:bCs/>
          <w:color w:val="auto"/>
          <w:sz w:val="21"/>
          <w:szCs w:val="21"/>
        </w:rPr>
        <w:t>（</w:t>
      </w:r>
      <w:r>
        <w:rPr>
          <w:rFonts w:hint="eastAsia" w:ascii="宋体" w:hAnsi="宋体" w:eastAsia="宋体" w:cs="宋体"/>
          <w:b/>
          <w:bCs/>
          <w:color w:val="auto"/>
          <w:kern w:val="0"/>
          <w:sz w:val="21"/>
          <w:szCs w:val="21"/>
        </w:rPr>
        <w:t>投标文件商务、技术证明文件正本中提供复印件加盖</w:t>
      </w:r>
      <w:r>
        <w:rPr>
          <w:rFonts w:hint="eastAsia" w:ascii="宋体" w:hAnsi="宋体" w:eastAsia="宋体" w:cs="宋体"/>
          <w:b/>
          <w:bCs/>
          <w:color w:val="auto"/>
          <w:kern w:val="0"/>
          <w:sz w:val="21"/>
          <w:szCs w:val="21"/>
          <w:lang w:val="en-US" w:eastAsia="zh-CN"/>
        </w:rPr>
        <w:t>制造商</w:t>
      </w:r>
      <w:r>
        <w:rPr>
          <w:rFonts w:hint="eastAsia" w:ascii="宋体" w:hAnsi="宋体" w:eastAsia="宋体" w:cs="宋体"/>
          <w:b/>
          <w:bCs/>
          <w:color w:val="auto"/>
          <w:kern w:val="0"/>
          <w:sz w:val="21"/>
          <w:szCs w:val="21"/>
        </w:rPr>
        <w:t>公章，副本中可为正本的复印件</w:t>
      </w:r>
      <w:r>
        <w:rPr>
          <w:rFonts w:hint="eastAsia" w:ascii="宋体" w:hAnsi="宋体" w:eastAsia="宋体" w:cs="宋体"/>
          <w:b/>
          <w:bCs/>
          <w:color w:val="auto"/>
          <w:sz w:val="21"/>
          <w:szCs w:val="21"/>
        </w:rPr>
        <w:t>）</w:t>
      </w:r>
      <w:r>
        <w:rPr>
          <w:rFonts w:hint="eastAsia" w:ascii="宋体" w:hAnsi="宋体" w:eastAsia="宋体" w:cs="宋体"/>
          <w:bCs/>
          <w:color w:val="auto"/>
          <w:sz w:val="21"/>
          <w:szCs w:val="21"/>
        </w:rPr>
        <w:t>和中小企业声明函</w:t>
      </w:r>
      <w:r>
        <w:rPr>
          <w:rFonts w:hint="eastAsia" w:ascii="宋体" w:hAnsi="宋体" w:eastAsia="宋体" w:cs="宋体"/>
          <w:b/>
          <w:bCs/>
          <w:color w:val="auto"/>
          <w:sz w:val="21"/>
          <w:szCs w:val="21"/>
        </w:rPr>
        <w:t>（原件附</w:t>
      </w:r>
      <w:r>
        <w:rPr>
          <w:rFonts w:hint="eastAsia" w:ascii="宋体" w:hAnsi="宋体" w:eastAsia="宋体" w:cs="宋体"/>
          <w:b/>
          <w:bCs/>
          <w:color w:val="auto"/>
          <w:kern w:val="0"/>
          <w:sz w:val="21"/>
          <w:szCs w:val="21"/>
        </w:rPr>
        <w:t>投标文件商务、技术证明文件正本中</w:t>
      </w:r>
      <w:r>
        <w:rPr>
          <w:rFonts w:hint="eastAsia" w:ascii="宋体" w:hAnsi="宋体" w:eastAsia="宋体" w:cs="宋体"/>
          <w:b/>
          <w:bCs/>
          <w:color w:val="auto"/>
          <w:sz w:val="21"/>
          <w:szCs w:val="21"/>
        </w:rPr>
        <w:t>，副本可以为正本的复印件）</w:t>
      </w:r>
      <w:r>
        <w:rPr>
          <w:rFonts w:hint="eastAsia" w:ascii="宋体" w:hAnsi="宋体" w:eastAsia="宋体" w:cs="宋体"/>
          <w:bCs/>
          <w:color w:val="auto"/>
          <w:sz w:val="21"/>
          <w:szCs w:val="21"/>
        </w:rPr>
        <w:t>，否则不予承认。</w:t>
      </w:r>
    </w:p>
    <w:p>
      <w:pPr>
        <w:spacing w:line="360" w:lineRule="auto"/>
        <w:rPr>
          <w:rFonts w:hint="eastAsia" w:ascii="宋体" w:hAnsi="宋体" w:eastAsia="宋体" w:cs="宋体"/>
          <w:b/>
          <w:bCs/>
          <w:sz w:val="21"/>
          <w:szCs w:val="21"/>
        </w:rPr>
      </w:pPr>
      <w:r>
        <w:rPr>
          <w:rFonts w:hint="eastAsia" w:ascii="宋体" w:hAnsi="宋体" w:eastAsia="宋体" w:cs="宋体"/>
          <w:bCs/>
          <w:sz w:val="21"/>
          <w:szCs w:val="21"/>
        </w:rPr>
        <w:t>　　</w:t>
      </w:r>
      <w:r>
        <w:rPr>
          <w:rFonts w:hint="eastAsia" w:ascii="宋体" w:hAnsi="宋体" w:eastAsia="宋体" w:cs="宋体"/>
          <w:b/>
          <w:bCs/>
          <w:sz w:val="21"/>
          <w:szCs w:val="21"/>
        </w:rPr>
        <w:t>在评审的过程中，以上（1）和（2）同时成立，方可以认定为小型或微型企业并享受价格优惠。</w:t>
      </w:r>
    </w:p>
    <w:p>
      <w:pPr>
        <w:numPr>
          <w:ilvl w:val="2"/>
          <w:numId w:val="5"/>
        </w:num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根据财库〔2014〕68号《财政部 司法部关于政府采购支持监狱企业发展有关问题的通知》，监狱企业视同小微企业。提供由省级以上监狱管理局、戒毒管理局(含新疆生产建设兵团)出具的属于监狱企业的证明</w:t>
      </w:r>
      <w:r>
        <w:rPr>
          <w:rFonts w:hint="eastAsia" w:ascii="宋体" w:hAnsi="宋体" w:eastAsia="宋体" w:cs="宋体"/>
          <w:bCs/>
          <w:color w:val="auto"/>
          <w:sz w:val="21"/>
          <w:szCs w:val="21"/>
        </w:rPr>
        <w:t>文件</w:t>
      </w:r>
      <w:r>
        <w:rPr>
          <w:rFonts w:hint="eastAsia" w:ascii="宋体" w:hAnsi="宋体" w:eastAsia="宋体" w:cs="宋体"/>
          <w:b/>
          <w:bCs/>
          <w:color w:val="auto"/>
          <w:sz w:val="21"/>
          <w:szCs w:val="21"/>
        </w:rPr>
        <w:t>（投标文件商务、技术证明文件正本中提供复印件加盖投标人公章，副本中可为正本的复印件，原件核查）</w:t>
      </w:r>
      <w:r>
        <w:rPr>
          <w:rFonts w:hint="eastAsia" w:ascii="宋体" w:hAnsi="宋体" w:eastAsia="宋体" w:cs="宋体"/>
          <w:bCs/>
          <w:color w:val="auto"/>
          <w:sz w:val="21"/>
          <w:szCs w:val="21"/>
        </w:rPr>
        <w:t>，不再提供《中小企业声明函》,供应商出具的监狱企业证明文件如有虚假，其成交资格将被取消，并根据相关规定</w:t>
      </w:r>
      <w:r>
        <w:rPr>
          <w:rFonts w:hint="eastAsia" w:ascii="宋体" w:hAnsi="宋体" w:eastAsia="宋体" w:cs="宋体"/>
          <w:bCs/>
          <w:sz w:val="21"/>
          <w:szCs w:val="21"/>
        </w:rPr>
        <w:t>进行处罚。</w:t>
      </w:r>
    </w:p>
    <w:p>
      <w:pPr>
        <w:numPr>
          <w:ilvl w:val="2"/>
          <w:numId w:val="5"/>
        </w:numPr>
        <w:spacing w:line="360" w:lineRule="auto"/>
        <w:ind w:firstLine="420" w:firstLineChars="200"/>
        <w:rPr>
          <w:rFonts w:hint="eastAsia" w:ascii="宋体" w:hAnsi="宋体" w:eastAsia="宋体" w:cs="宋体"/>
          <w:bCs/>
          <w:sz w:val="21"/>
          <w:szCs w:val="21"/>
        </w:rPr>
      </w:pPr>
      <w:r>
        <w:rPr>
          <w:rFonts w:hint="eastAsia" w:ascii="宋体" w:hAnsi="宋体" w:eastAsia="宋体" w:cs="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eastAsia="宋体" w:cs="宋体"/>
          <w:b/>
          <w:bCs/>
          <w:color w:val="auto"/>
          <w:sz w:val="21"/>
          <w:szCs w:val="21"/>
        </w:rPr>
        <w:t>（原件附投标文件商务、技术证明文件正本中，副本可以为正本的复印件）</w:t>
      </w:r>
      <w:r>
        <w:rPr>
          <w:rFonts w:hint="eastAsia" w:ascii="宋体" w:hAnsi="宋体" w:eastAsia="宋体" w:cs="宋体"/>
          <w:bCs/>
          <w:color w:val="auto"/>
          <w:sz w:val="21"/>
          <w:szCs w:val="21"/>
        </w:rPr>
        <w:t>，不再提供《中小企业声明函》，供应商在《残疾人福利性单位声明函》中的承诺如有虚假，其成</w:t>
      </w:r>
      <w:r>
        <w:rPr>
          <w:rFonts w:hint="eastAsia" w:ascii="宋体" w:hAnsi="宋体" w:eastAsia="宋体" w:cs="宋体"/>
          <w:bCs/>
          <w:sz w:val="21"/>
          <w:szCs w:val="21"/>
        </w:rPr>
        <w:t>交资格将被取消，并根据相关规定进行处罚。</w:t>
      </w:r>
    </w:p>
    <w:p>
      <w:pPr>
        <w:numPr>
          <w:ilvl w:val="0"/>
          <w:numId w:val="0"/>
        </w:numPr>
        <w:spacing w:line="360" w:lineRule="auto"/>
        <w:ind w:firstLine="422" w:firstLineChars="200"/>
        <w:rPr>
          <w:rFonts w:hint="eastAsia" w:ascii="宋体" w:hAnsi="宋体" w:eastAsia="宋体" w:cs="宋体"/>
          <w:bCs/>
          <w:color w:val="auto"/>
          <w:sz w:val="21"/>
          <w:szCs w:val="21"/>
          <w:lang w:val="en-US" w:eastAsia="zh-CN"/>
        </w:rPr>
      </w:pPr>
      <w:r>
        <w:rPr>
          <w:rFonts w:hint="eastAsia" w:ascii="宋体" w:hAnsi="宋体" w:eastAsia="宋体" w:cs="宋体"/>
          <w:b/>
          <w:bCs/>
          <w:color w:val="auto"/>
          <w:sz w:val="21"/>
          <w:szCs w:val="21"/>
        </w:rPr>
        <w:t>投标人同时为小型、微型企业、监狱企业、残疾人福利性单位任两种或以上情况的，评审中只享受一次价格扣除，不重复</w:t>
      </w:r>
      <w:r>
        <w:rPr>
          <w:rFonts w:hint="eastAsia" w:ascii="宋体" w:hAnsi="宋体" w:eastAsia="宋体" w:cs="宋体"/>
          <w:b/>
          <w:bCs/>
          <w:color w:val="auto"/>
          <w:sz w:val="21"/>
          <w:szCs w:val="21"/>
          <w:highlight w:val="none"/>
        </w:rPr>
        <w:t>进行价格扣除</w:t>
      </w:r>
      <w:r>
        <w:rPr>
          <w:rFonts w:hint="eastAsia" w:ascii="宋体" w:hAnsi="宋体" w:eastAsia="宋体" w:cs="宋体"/>
          <w:b/>
          <w:bCs/>
          <w:color w:val="auto"/>
          <w:sz w:val="21"/>
          <w:szCs w:val="21"/>
          <w:highlight w:val="none"/>
          <w:lang w:val="en-US" w:eastAsia="zh-CN"/>
        </w:rPr>
        <w:t>。</w:t>
      </w:r>
    </w:p>
    <w:p>
      <w:pPr>
        <w:numPr>
          <w:ilvl w:val="1"/>
          <w:numId w:val="4"/>
        </w:numPr>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节能产品、环境标志产品</w:t>
      </w:r>
    </w:p>
    <w:p>
      <w:pPr>
        <w:spacing w:line="360" w:lineRule="auto"/>
        <w:ind w:firstLine="424" w:firstLineChars="202"/>
        <w:rPr>
          <w:rFonts w:hint="eastAsia" w:ascii="宋体" w:hAnsi="宋体" w:eastAsia="宋体" w:cs="宋体"/>
          <w:bCs/>
          <w:color w:val="auto"/>
          <w:sz w:val="21"/>
          <w:szCs w:val="21"/>
        </w:rPr>
      </w:pPr>
      <w:r>
        <w:rPr>
          <w:rFonts w:hint="eastAsia" w:ascii="宋体" w:hAnsi="宋体" w:eastAsia="宋体" w:cs="宋体"/>
          <w:bCs/>
          <w:sz w:val="21"/>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w:t>
      </w:r>
      <w:r>
        <w:rPr>
          <w:rFonts w:hint="eastAsia" w:ascii="宋体" w:hAnsi="宋体" w:eastAsia="宋体" w:cs="宋体"/>
          <w:bCs/>
          <w:color w:val="auto"/>
          <w:sz w:val="21"/>
          <w:szCs w:val="21"/>
        </w:rPr>
        <w:t>第16号），属于政府优先采购产品类别的，须按照要求提供依据国家确定的认证机构出具的、处于有效期之内的节能产品或环境标志产品认证证书</w:t>
      </w:r>
      <w:r>
        <w:rPr>
          <w:rFonts w:hint="eastAsia" w:ascii="宋体" w:hAnsi="宋体" w:eastAsia="宋体" w:cs="宋体"/>
          <w:b/>
          <w:bCs/>
          <w:color w:val="auto"/>
          <w:sz w:val="21"/>
          <w:szCs w:val="21"/>
        </w:rPr>
        <w:t>（</w:t>
      </w:r>
      <w:r>
        <w:rPr>
          <w:rFonts w:hint="eastAsia" w:ascii="宋体" w:hAnsi="宋体" w:eastAsia="宋体" w:cs="宋体"/>
          <w:b/>
          <w:bCs/>
          <w:color w:val="auto"/>
          <w:kern w:val="0"/>
          <w:sz w:val="21"/>
          <w:szCs w:val="21"/>
        </w:rPr>
        <w:t>投标文件商务、技术证明文件正本中提供复印件加盖投标人公章，副本中可为正本的复印件</w:t>
      </w:r>
      <w:r>
        <w:rPr>
          <w:rFonts w:hint="eastAsia" w:ascii="宋体" w:hAnsi="宋体" w:eastAsia="宋体" w:cs="宋体"/>
          <w:color w:val="auto"/>
          <w:sz w:val="21"/>
          <w:szCs w:val="21"/>
        </w:rPr>
        <w:t>）</w:t>
      </w:r>
      <w:r>
        <w:rPr>
          <w:rFonts w:hint="eastAsia" w:ascii="宋体" w:hAnsi="宋体" w:eastAsia="宋体" w:cs="宋体"/>
          <w:b/>
          <w:bCs/>
          <w:color w:val="auto"/>
          <w:sz w:val="21"/>
          <w:szCs w:val="21"/>
        </w:rPr>
        <w:t>）</w:t>
      </w:r>
      <w:r>
        <w:rPr>
          <w:rFonts w:hint="eastAsia" w:ascii="宋体" w:hAnsi="宋体" w:eastAsia="宋体" w:cs="宋体"/>
          <w:bCs/>
          <w:color w:val="auto"/>
          <w:sz w:val="21"/>
          <w:szCs w:val="21"/>
        </w:rPr>
        <w:t>，否则不予认定。</w:t>
      </w:r>
    </w:p>
    <w:p>
      <w:pPr>
        <w:numPr>
          <w:ilvl w:val="1"/>
          <w:numId w:val="4"/>
        </w:num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信息安全产品</w:t>
      </w:r>
    </w:p>
    <w:p>
      <w:pPr>
        <w:tabs>
          <w:tab w:val="left" w:pos="720"/>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eastAsia="宋体" w:cs="宋体"/>
          <w:b/>
          <w:bCs/>
          <w:color w:val="auto"/>
          <w:kern w:val="0"/>
          <w:sz w:val="21"/>
          <w:szCs w:val="21"/>
        </w:rPr>
        <w:t>（投标文件商务、技术证明文件正本中提供复印件加盖投标人公章，副本中可为正本的复印件）</w:t>
      </w:r>
      <w:r>
        <w:rPr>
          <w:rFonts w:hint="eastAsia" w:ascii="宋体" w:hAnsi="宋体" w:eastAsia="宋体" w:cs="宋体"/>
          <w:color w:val="auto"/>
          <w:sz w:val="21"/>
          <w:szCs w:val="21"/>
        </w:rPr>
        <w:t>。</w:t>
      </w:r>
    </w:p>
    <w:p>
      <w:bookmarkStart w:id="0" w:name="_GoBack"/>
      <w:bookmarkEnd w:id="0"/>
    </w:p>
    <w:sectPr>
      <w:pgSz w:w="11906" w:h="16838"/>
      <w:pgMar w:top="1134"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微软雅黑"/>
    <w:panose1 w:val="02010609030101010101"/>
    <w:charset w:val="86"/>
    <w:family w:val="modern"/>
    <w:pitch w:val="default"/>
    <w:sig w:usb0="00000000" w:usb1="00000000" w:usb2="00000010" w:usb3="00000000" w:csb0="00040000" w:csb1="00000000"/>
  </w:font>
  <w:font w:name="仿宋_GB2312">
    <w:altName w:val="微软雅黑"/>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A3E2C4"/>
    <w:multiLevelType w:val="singleLevel"/>
    <w:tmpl w:val="B0A3E2C4"/>
    <w:lvl w:ilvl="0" w:tentative="0">
      <w:start w:val="1"/>
      <w:numFmt w:val="decimal"/>
      <w:lvlText w:val="%1."/>
      <w:lvlJc w:val="left"/>
      <w:pPr>
        <w:tabs>
          <w:tab w:val="left" w:pos="312"/>
        </w:tabs>
      </w:pPr>
    </w:lvl>
  </w:abstractNum>
  <w:abstractNum w:abstractNumId="1">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15598F"/>
    <w:rsid w:val="5115598F"/>
    <w:rsid w:val="64A50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6">
    <w:name w:val="heading 4"/>
    <w:basedOn w:val="1"/>
    <w:next w:val="1"/>
    <w:qFormat/>
    <w:uiPriority w:val="0"/>
    <w:pPr>
      <w:keepNext/>
      <w:keepLines/>
      <w:spacing w:before="280" w:beforeLines="0" w:after="290" w:afterLines="0" w:line="376" w:lineRule="auto"/>
      <w:outlineLvl w:val="3"/>
    </w:pPr>
    <w:rPr>
      <w:rFonts w:ascii="Arial" w:hAnsi="Arial" w:eastAsia="黑体" w:cs="Times New Roman"/>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style>
  <w:style w:type="paragraph" w:styleId="3">
    <w:name w:val="Body Text"/>
    <w:basedOn w:val="1"/>
    <w:next w:val="1"/>
    <w:uiPriority w:val="0"/>
    <w:rPr>
      <w:rFonts w:ascii="Times New Roman" w:hAnsi="Times New Roman" w:eastAsia="楷体_GB2312" w:cs="Times New Roman"/>
      <w:sz w:val="28"/>
      <w:szCs w:val="24"/>
    </w:rPr>
  </w:style>
  <w:style w:type="paragraph" w:styleId="4">
    <w:name w:val="Body Text First Indent 2"/>
    <w:basedOn w:val="5"/>
    <w:next w:val="1"/>
    <w:uiPriority w:val="0"/>
    <w:pPr>
      <w:spacing w:after="120" w:afterLines="0"/>
      <w:ind w:left="420" w:leftChars="200" w:firstLine="420"/>
    </w:pPr>
  </w:style>
  <w:style w:type="paragraph" w:styleId="5">
    <w:name w:val="Body Text Indent"/>
    <w:basedOn w:val="1"/>
    <w:uiPriority w:val="0"/>
    <w:pPr>
      <w:ind w:firstLine="560" w:firstLineChars="200"/>
    </w:pPr>
    <w:rPr>
      <w:rFonts w:ascii="仿宋_GB2312" w:eastAsia="仿宋_GB2312"/>
      <w:kern w:val="2"/>
      <w:sz w:val="28"/>
    </w:rPr>
  </w:style>
  <w:style w:type="paragraph" w:styleId="7">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2020-08-06T07:33:00Z</dcterms:created>
  <dc:creator>工程造价预算~张敬敬 13083839783</dc:creator>
  <cp:lastModifiedBy>Administrator</cp:lastModifiedBy>
  <dcterms:modified xsi:type="dcterms:W3CDTF">2020-08-26T08:05:48Z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