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numPr>
          <w:numId w:val="0"/>
        </w:numPr>
        <w:spacing w:line="480" w:lineRule="exact"/>
        <w:ind w:right="-72" w:rightChars="-30" w:firstLine="3534" w:firstLineChars="1100"/>
        <w:jc w:val="both"/>
        <w:rPr>
          <w:rFonts w:hint="eastAsia" w:ascii="宋体" w:hAnsi="宋体" w:eastAsia="宋体" w:cs="宋体"/>
          <w:bCs w:val="0"/>
        </w:rPr>
      </w:pPr>
      <w:bookmarkStart w:id="0" w:name="_Toc477166579"/>
      <w:bookmarkStart w:id="1" w:name="_Toc458698253"/>
      <w:r>
        <w:rPr>
          <w:rFonts w:hint="eastAsia" w:ascii="宋体" w:hAnsi="宋体" w:eastAsia="宋体" w:cs="宋体"/>
          <w:bCs w:val="0"/>
        </w:rPr>
        <w:t xml:space="preserve"> </w:t>
      </w:r>
      <w:bookmarkStart w:id="2" w:name="_Toc9853"/>
      <w:r>
        <w:rPr>
          <w:rFonts w:hint="eastAsia" w:ascii="宋体" w:hAnsi="宋体" w:eastAsia="宋体" w:cs="宋体"/>
          <w:bCs w:val="0"/>
        </w:rPr>
        <w:t>采购需求</w:t>
      </w:r>
      <w:bookmarkEnd w:id="0"/>
      <w:bookmarkEnd w:id="1"/>
      <w:bookmarkEnd w:id="2"/>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相关说明</w:t>
      </w:r>
    </w:p>
    <w:p>
      <w:pPr>
        <w:widowControl/>
        <w:numPr>
          <w:ilvl w:val="2"/>
          <w:numId w:val="2"/>
        </w:numPr>
        <w:adjustRightInd w:val="0"/>
        <w:snapToGrid w:val="0"/>
        <w:spacing w:line="400" w:lineRule="exact"/>
        <w:ind w:firstLine="480" w:firstLineChars="200"/>
        <w:jc w:val="left"/>
        <w:rPr>
          <w:rFonts w:hint="eastAsia" w:ascii="宋体" w:hAnsi="宋体" w:eastAsia="宋体" w:cs="宋体"/>
          <w:color w:val="000000"/>
          <w:kern w:val="0"/>
          <w:szCs w:val="21"/>
        </w:rPr>
      </w:pPr>
      <w:r>
        <w:rPr>
          <w:rFonts w:hint="eastAsia" w:ascii="宋体" w:hAnsi="宋体" w:eastAsia="宋体" w:cs="宋体"/>
          <w:bCs/>
          <w:color w:val="000000"/>
          <w:kern w:val="0"/>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000000"/>
          <w:kern w:val="0"/>
          <w:szCs w:val="21"/>
        </w:rPr>
        <w:t>。</w:t>
      </w:r>
    </w:p>
    <w:p>
      <w:pPr>
        <w:widowControl/>
        <w:numPr>
          <w:ilvl w:val="2"/>
          <w:numId w:val="2"/>
        </w:numPr>
        <w:adjustRightInd w:val="0"/>
        <w:snapToGrid w:val="0"/>
        <w:spacing w:line="400" w:lineRule="exact"/>
        <w:ind w:firstLine="48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本次采购内容如果要求的某些技术标准低于国家标准，均以最新的国家标准为准。招标技术要求中未明确的技术标准也均不得低于国家标准；</w:t>
      </w:r>
    </w:p>
    <w:p>
      <w:pPr>
        <w:widowControl/>
        <w:snapToGrid w:val="0"/>
        <w:spacing w:line="400" w:lineRule="exact"/>
        <w:ind w:firstLine="482" w:firstLineChars="200"/>
        <w:jc w:val="left"/>
        <w:rPr>
          <w:rFonts w:hint="eastAsia" w:ascii="宋体" w:hAnsi="宋体" w:eastAsia="宋体" w:cs="宋体"/>
          <w:b/>
          <w:bCs/>
          <w:color w:val="0000FF"/>
          <w:kern w:val="0"/>
          <w:szCs w:val="21"/>
        </w:rPr>
      </w:pPr>
      <w:r>
        <w:rPr>
          <w:rFonts w:hint="eastAsia" w:ascii="宋体" w:hAnsi="宋体" w:eastAsia="宋体" w:cs="宋体"/>
          <w:b/>
          <w:bCs/>
          <w:color w:val="0000FF"/>
          <w:kern w:val="0"/>
          <w:szCs w:val="21"/>
        </w:rPr>
        <w:t>本次采购产品如在国家强制性认证范围内的必须取得国家强制性CCC认证（提供CCC认证证书，投标文件商务、技术证明文件正本中提供复印件加盖投标人或</w:t>
      </w:r>
      <w:r>
        <w:rPr>
          <w:rFonts w:hint="eastAsia" w:ascii="宋体" w:hAnsi="宋体" w:eastAsia="宋体" w:cs="宋体"/>
          <w:b/>
          <w:bCs/>
          <w:color w:val="0000FF"/>
          <w:kern w:val="0"/>
          <w:szCs w:val="21"/>
          <w:lang w:eastAsia="zh-CN"/>
        </w:rPr>
        <w:t>生产厂家</w:t>
      </w:r>
      <w:r>
        <w:rPr>
          <w:rFonts w:hint="eastAsia" w:ascii="宋体" w:hAnsi="宋体" w:eastAsia="宋体" w:cs="宋体"/>
          <w:b/>
          <w:bCs/>
          <w:color w:val="0000FF"/>
          <w:kern w:val="0"/>
          <w:szCs w:val="21"/>
        </w:rPr>
        <w:t>公章，副本可为正本复印件）。</w:t>
      </w:r>
    </w:p>
    <w:p>
      <w:pPr>
        <w:widowControl/>
        <w:numPr>
          <w:ilvl w:val="2"/>
          <w:numId w:val="2"/>
        </w:numPr>
        <w:adjustRightInd w:val="0"/>
        <w:snapToGrid w:val="0"/>
        <w:spacing w:line="400" w:lineRule="exact"/>
        <w:ind w:firstLine="48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本采购项目为交钥匙项目，验收合格前所需的一切费用均包含在报价之中，采购人不承担成交价格以外的任何费用。</w:t>
      </w:r>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商务要求：</w:t>
      </w:r>
    </w:p>
    <w:p>
      <w:pPr>
        <w:numPr>
          <w:ilvl w:val="2"/>
          <w:numId w:val="3"/>
        </w:numPr>
        <w:spacing w:line="40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合同履行期限：</w:t>
      </w:r>
      <w:r>
        <w:rPr>
          <w:rFonts w:hint="eastAsia" w:ascii="宋体" w:hAnsi="宋体" w:eastAsia="宋体" w:cs="宋体"/>
          <w:color w:val="auto"/>
          <w:szCs w:val="21"/>
          <w:lang w:eastAsia="zh-CN"/>
        </w:rPr>
        <w:t>签订合同之后</w:t>
      </w:r>
      <w:r>
        <w:rPr>
          <w:rFonts w:hint="eastAsia" w:ascii="宋体" w:hAnsi="宋体" w:eastAsia="宋体" w:cs="宋体"/>
          <w:color w:val="auto"/>
          <w:szCs w:val="21"/>
          <w:lang w:val="en-US" w:eastAsia="zh-CN"/>
        </w:rPr>
        <w:t>30日内完成</w:t>
      </w:r>
    </w:p>
    <w:p>
      <w:pPr>
        <w:numPr>
          <w:ilvl w:val="2"/>
          <w:numId w:val="3"/>
        </w:numPr>
        <w:spacing w:line="40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供货安装地点：</w:t>
      </w:r>
    </w:p>
    <w:p>
      <w:pPr>
        <w:numPr>
          <w:ilvl w:val="0"/>
          <w:numId w:val="0"/>
        </w:numPr>
        <w:spacing w:line="400" w:lineRule="exact"/>
        <w:ind w:leftChars="200"/>
        <w:rPr>
          <w:rFonts w:hint="eastAsia" w:ascii="宋体" w:hAnsi="宋体" w:eastAsia="宋体" w:cs="宋体"/>
          <w:b w:val="0"/>
          <w:bCs w:val="0"/>
          <w:szCs w:val="21"/>
          <w:lang w:val="en-US" w:eastAsia="zh-CN"/>
        </w:rPr>
      </w:pPr>
      <w:r>
        <w:rPr>
          <w:rFonts w:hint="eastAsia" w:ascii="宋体" w:hAnsi="宋体" w:eastAsia="宋体" w:cs="宋体"/>
          <w:color w:val="auto"/>
          <w:szCs w:val="21"/>
          <w:lang w:eastAsia="zh-CN"/>
        </w:rPr>
        <w:t>采购需求附件一供货地点为：</w:t>
      </w:r>
      <w:r>
        <w:rPr>
          <w:rFonts w:hint="eastAsia" w:ascii="宋体" w:hAnsi="宋体" w:eastAsia="宋体" w:cs="宋体"/>
          <w:b w:val="0"/>
          <w:bCs w:val="0"/>
          <w:szCs w:val="21"/>
          <w:lang w:val="en-US" w:eastAsia="zh-CN"/>
        </w:rPr>
        <w:t>1）乔庙乡马宣寨小学；2）乔庙乡杜村教学点；3）大虹桥乡南虹桥小学；4）大封镇西唐郭小学；5）大封镇南湖小学；6）三阳乡西尚村小学；7）三阳乡大原村小学；8）三阳乡南田塘小学；9）谢旗营镇杨村小学；10）詹店镇郭庵小学；11）詹店镇小马营小学；12）圪当店乡程伊小学；13）圪当店乡汤王堤小学；14）大虹桥乡西张村小学；15）小董乡南王学校。</w:t>
      </w:r>
    </w:p>
    <w:p>
      <w:pPr>
        <w:numPr>
          <w:ilvl w:val="0"/>
          <w:numId w:val="0"/>
        </w:numPr>
        <w:spacing w:line="400" w:lineRule="exact"/>
        <w:ind w:leftChars="200"/>
        <w:rPr>
          <w:rFonts w:hint="eastAsia" w:ascii="宋体" w:hAnsi="宋体" w:eastAsia="宋体" w:cs="宋体"/>
          <w:color w:val="auto"/>
          <w:szCs w:val="21"/>
        </w:rPr>
      </w:pPr>
      <w:r>
        <w:rPr>
          <w:rFonts w:hint="eastAsia" w:ascii="宋体" w:hAnsi="宋体" w:eastAsia="宋体" w:cs="宋体"/>
          <w:color w:val="auto"/>
          <w:szCs w:val="21"/>
          <w:lang w:eastAsia="zh-CN"/>
        </w:rPr>
        <w:t>采购需求</w:t>
      </w:r>
      <w:r>
        <w:rPr>
          <w:rFonts w:hint="eastAsia" w:ascii="宋体" w:hAnsi="宋体" w:eastAsia="宋体" w:cs="宋体"/>
          <w:b w:val="0"/>
          <w:bCs w:val="0"/>
          <w:szCs w:val="21"/>
          <w:lang w:val="en-US" w:eastAsia="zh-CN"/>
        </w:rPr>
        <w:t>附件二供货地点为：</w:t>
      </w:r>
      <w:r>
        <w:rPr>
          <w:rFonts w:hint="eastAsia" w:ascii="宋体" w:hAnsi="宋体" w:eastAsia="宋体" w:cs="宋体"/>
          <w:szCs w:val="21"/>
          <w:highlight w:val="none"/>
          <w:lang w:val="en-US" w:eastAsia="zh-CN"/>
        </w:rPr>
        <w:t>1）大虹桥乡大高山小学；2）大封镇寨上小学；3）谢旗营镇北大段教学点。</w:t>
      </w:r>
    </w:p>
    <w:p>
      <w:pPr>
        <w:numPr>
          <w:ilvl w:val="2"/>
          <w:numId w:val="3"/>
        </w:numPr>
        <w:spacing w:line="40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质量标准：</w:t>
      </w:r>
      <w:r>
        <w:rPr>
          <w:rFonts w:hint="eastAsia" w:ascii="宋体" w:hAnsi="宋体" w:eastAsia="宋体" w:cs="宋体"/>
          <w:color w:val="auto"/>
          <w:szCs w:val="21"/>
          <w:lang w:eastAsia="zh-CN"/>
        </w:rPr>
        <w:t>符合国家及行业相关标准</w:t>
      </w:r>
      <w:r>
        <w:rPr>
          <w:rFonts w:hint="eastAsia" w:ascii="宋体" w:hAnsi="宋体" w:eastAsia="宋体" w:cs="宋体"/>
          <w:color w:val="auto"/>
          <w:szCs w:val="21"/>
        </w:rPr>
        <w:t xml:space="preserve"> </w:t>
      </w:r>
    </w:p>
    <w:p>
      <w:pPr>
        <w:numPr>
          <w:ilvl w:val="2"/>
          <w:numId w:val="3"/>
        </w:numPr>
        <w:spacing w:line="40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质量保证期：</w:t>
      </w:r>
      <w:r>
        <w:rPr>
          <w:rFonts w:hint="eastAsia" w:ascii="宋体" w:hAnsi="宋体" w:eastAsia="宋体" w:cs="宋体"/>
          <w:color w:val="auto"/>
          <w:szCs w:val="21"/>
          <w:lang w:val="en-US" w:eastAsia="zh-CN"/>
        </w:rPr>
        <w:t>1</w:t>
      </w:r>
      <w:r>
        <w:rPr>
          <w:rFonts w:hint="eastAsia" w:ascii="宋体" w:hAnsi="宋体" w:eastAsia="宋体" w:cs="宋体"/>
          <w:color w:val="auto"/>
          <w:szCs w:val="21"/>
          <w:lang w:eastAsia="zh-CN"/>
        </w:rPr>
        <w:t>年</w:t>
      </w:r>
      <w:r>
        <w:rPr>
          <w:rFonts w:hint="eastAsia" w:ascii="宋体" w:hAnsi="宋体" w:eastAsia="宋体" w:cs="宋体"/>
          <w:color w:val="auto"/>
          <w:szCs w:val="21"/>
        </w:rPr>
        <w:t xml:space="preserve"> </w:t>
      </w:r>
    </w:p>
    <w:p>
      <w:pPr>
        <w:numPr>
          <w:ilvl w:val="2"/>
          <w:numId w:val="3"/>
        </w:numPr>
        <w:spacing w:line="40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履约担保：中标人与采购人签订合同前，需向采购人交纳中标金额的</w:t>
      </w:r>
      <w:r>
        <w:rPr>
          <w:rFonts w:hint="eastAsia" w:ascii="宋体" w:hAnsi="宋体" w:eastAsia="宋体" w:cs="宋体"/>
          <w:color w:val="auto"/>
          <w:szCs w:val="21"/>
          <w:u w:val="single"/>
        </w:rPr>
        <w:t>　</w:t>
      </w:r>
      <w:r>
        <w:rPr>
          <w:rFonts w:hint="eastAsia" w:ascii="宋体" w:hAnsi="宋体" w:eastAsia="宋体" w:cs="宋体"/>
          <w:color w:val="auto"/>
          <w:szCs w:val="21"/>
          <w:u w:val="single"/>
          <w:lang w:val="en-US" w:eastAsia="zh-CN"/>
        </w:rPr>
        <w:t>5</w:t>
      </w:r>
      <w:r>
        <w:rPr>
          <w:rFonts w:hint="eastAsia" w:ascii="宋体" w:hAnsi="宋体" w:eastAsia="宋体" w:cs="宋体"/>
          <w:color w:val="auto"/>
          <w:szCs w:val="21"/>
          <w:u w:val="single"/>
        </w:rPr>
        <w:t>　</w:t>
      </w:r>
      <w:r>
        <w:rPr>
          <w:rFonts w:hint="eastAsia" w:ascii="宋体" w:hAnsi="宋体" w:eastAsia="宋体" w:cs="宋体"/>
          <w:color w:val="auto"/>
          <w:szCs w:val="21"/>
        </w:rPr>
        <w:t>%作为履约保证金，合同履行结束，经验收合格后退还。</w:t>
      </w:r>
    </w:p>
    <w:p>
      <w:pPr>
        <w:widowControl/>
        <w:numPr>
          <w:ilvl w:val="0"/>
          <w:numId w:val="0"/>
        </w:numPr>
        <w:adjustRightInd w:val="0"/>
        <w:snapToGrid w:val="0"/>
        <w:spacing w:line="400" w:lineRule="exact"/>
        <w:ind w:leftChars="0" w:firstLine="480" w:firstLineChars="200"/>
        <w:rPr>
          <w:rFonts w:hint="eastAsia" w:ascii="宋体" w:hAnsi="宋体" w:eastAsia="宋体" w:cs="宋体"/>
          <w:b/>
          <w:color w:val="000000"/>
          <w:kern w:val="0"/>
          <w:sz w:val="32"/>
          <w:szCs w:val="32"/>
        </w:rPr>
      </w:pPr>
      <w:r>
        <w:rPr>
          <w:rFonts w:hint="eastAsia" w:ascii="宋体" w:hAnsi="宋体" w:eastAsia="宋体" w:cs="宋体"/>
          <w:color w:val="auto"/>
          <w:szCs w:val="21"/>
          <w:lang w:val="en-US" w:eastAsia="zh-CN"/>
        </w:rPr>
        <w:t>6.</w:t>
      </w:r>
      <w:r>
        <w:rPr>
          <w:rFonts w:hint="eastAsia" w:ascii="宋体" w:hAnsi="宋体" w:eastAsia="宋体" w:cs="宋体"/>
          <w:color w:val="auto"/>
          <w:szCs w:val="21"/>
        </w:rPr>
        <w:t>付款方式：全部供货完毕，经验收合格后付合同款的95%，剩余5%一年后无质量问题后一次性付清。</w:t>
      </w:r>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其他要求：</w:t>
      </w:r>
    </w:p>
    <w:p>
      <w:pPr>
        <w:widowControl/>
        <w:numPr>
          <w:ilvl w:val="0"/>
          <w:numId w:val="0"/>
        </w:numPr>
        <w:adjustRightInd w:val="0"/>
        <w:snapToGrid w:val="0"/>
        <w:spacing w:line="400" w:lineRule="exact"/>
        <w:ind w:firstLine="480" w:firstLineChars="200"/>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rPr>
        <w:t>售后服务要求：</w:t>
      </w:r>
    </w:p>
    <w:p>
      <w:pPr>
        <w:widowControl/>
        <w:numPr>
          <w:ilvl w:val="0"/>
          <w:numId w:val="0"/>
        </w:numPr>
        <w:adjustRightInd w:val="0"/>
        <w:snapToGrid w:val="0"/>
        <w:spacing w:line="400" w:lineRule="exact"/>
        <w:ind w:firstLine="96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（1）售后响应时间：</w:t>
      </w:r>
      <w:r>
        <w:rPr>
          <w:rFonts w:hint="eastAsia" w:ascii="宋体" w:hAnsi="宋体" w:eastAsia="宋体" w:cs="宋体"/>
          <w:color w:val="000000"/>
          <w:kern w:val="0"/>
          <w:szCs w:val="21"/>
          <w:lang w:val="en-US" w:eastAsia="zh-CN"/>
        </w:rPr>
        <w:t>7*24*365全年实施故障响应，</w:t>
      </w:r>
      <w:r>
        <w:rPr>
          <w:rFonts w:hint="eastAsia" w:ascii="宋体" w:hAnsi="宋体" w:eastAsia="宋体" w:cs="宋体"/>
          <w:color w:val="000000"/>
          <w:kern w:val="0"/>
          <w:szCs w:val="21"/>
        </w:rPr>
        <w:t>接到售后通知后2小时内响应，12小时内到达现场，24小时内</w:t>
      </w:r>
      <w:r>
        <w:rPr>
          <w:rFonts w:hint="eastAsia" w:ascii="宋体" w:hAnsi="宋体" w:eastAsia="宋体" w:cs="宋体"/>
          <w:color w:val="000000"/>
          <w:kern w:val="0"/>
          <w:szCs w:val="21"/>
          <w:lang w:eastAsia="zh-CN"/>
        </w:rPr>
        <w:t>维修并</w:t>
      </w:r>
      <w:r>
        <w:rPr>
          <w:rFonts w:hint="eastAsia" w:ascii="宋体" w:hAnsi="宋体" w:eastAsia="宋体" w:cs="宋体"/>
          <w:color w:val="000000"/>
          <w:kern w:val="0"/>
          <w:szCs w:val="21"/>
        </w:rPr>
        <w:t>解决</w:t>
      </w:r>
      <w:r>
        <w:rPr>
          <w:rFonts w:hint="eastAsia" w:ascii="宋体" w:hAnsi="宋体" w:eastAsia="宋体" w:cs="宋体"/>
          <w:color w:val="000000"/>
          <w:kern w:val="0"/>
          <w:szCs w:val="21"/>
          <w:lang w:eastAsia="zh-CN"/>
        </w:rPr>
        <w:t>问题</w:t>
      </w:r>
      <w:r>
        <w:rPr>
          <w:rFonts w:hint="eastAsia" w:ascii="宋体" w:hAnsi="宋体" w:eastAsia="宋体" w:cs="宋体"/>
          <w:color w:val="000000"/>
          <w:kern w:val="0"/>
          <w:szCs w:val="21"/>
        </w:rPr>
        <w:t>，达到甲方满意。</w:t>
      </w:r>
    </w:p>
    <w:p>
      <w:pPr>
        <w:widowControl/>
        <w:numPr>
          <w:ilvl w:val="0"/>
          <w:numId w:val="0"/>
        </w:numPr>
        <w:adjustRightInd w:val="0"/>
        <w:snapToGrid w:val="0"/>
        <w:spacing w:line="400" w:lineRule="exact"/>
        <w:ind w:left="420" w:leftChars="0" w:firstLine="480" w:firstLineChars="200"/>
        <w:rPr>
          <w:rFonts w:hint="eastAsia" w:ascii="宋体" w:hAnsi="宋体" w:eastAsia="宋体" w:cs="宋体"/>
          <w:color w:val="000000"/>
          <w:kern w:val="0"/>
          <w:szCs w:val="21"/>
        </w:rPr>
      </w:pPr>
      <w:r>
        <w:rPr>
          <w:rFonts w:hint="eastAsia" w:ascii="宋体" w:hAnsi="宋体" w:eastAsia="宋体" w:cs="宋体"/>
          <w:color w:val="000000"/>
          <w:kern w:val="0"/>
          <w:szCs w:val="21"/>
        </w:rPr>
        <w:t>（2）送货</w:t>
      </w:r>
      <w:r>
        <w:rPr>
          <w:rFonts w:hint="eastAsia" w:ascii="宋体" w:hAnsi="宋体" w:eastAsia="宋体" w:cs="宋体"/>
          <w:color w:val="000000"/>
          <w:kern w:val="0"/>
          <w:szCs w:val="21"/>
          <w:lang w:eastAsia="zh-CN"/>
        </w:rPr>
        <w:t>及安装</w:t>
      </w:r>
      <w:r>
        <w:rPr>
          <w:rFonts w:hint="eastAsia" w:ascii="宋体" w:hAnsi="宋体" w:eastAsia="宋体" w:cs="宋体"/>
          <w:color w:val="000000"/>
          <w:kern w:val="0"/>
          <w:szCs w:val="21"/>
        </w:rPr>
        <w:t>：免费送货上门</w:t>
      </w:r>
      <w:r>
        <w:rPr>
          <w:rFonts w:hint="eastAsia" w:ascii="宋体" w:hAnsi="宋体" w:eastAsia="宋体" w:cs="宋体"/>
          <w:color w:val="000000"/>
          <w:kern w:val="0"/>
          <w:szCs w:val="21"/>
          <w:lang w:eastAsia="zh-CN"/>
        </w:rPr>
        <w:t>、安装</w:t>
      </w:r>
      <w:r>
        <w:rPr>
          <w:rFonts w:hint="eastAsia" w:ascii="宋体" w:hAnsi="宋体" w:eastAsia="宋体" w:cs="宋体"/>
          <w:color w:val="000000"/>
          <w:kern w:val="0"/>
          <w:szCs w:val="21"/>
        </w:rPr>
        <w:t>。</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投标人所投设备及材料须为合格的全新产品，若国家及行业对所投设备及材料等有强制性要求的，中标人应予以满足。</w:t>
      </w:r>
    </w:p>
    <w:p>
      <w:pPr>
        <w:widowControl/>
        <w:adjustRightInd w:val="0"/>
        <w:snapToGrid w:val="0"/>
        <w:spacing w:line="400" w:lineRule="exact"/>
        <w:ind w:firstLine="480" w:firstLineChars="200"/>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3</w:t>
      </w:r>
      <w:r>
        <w:rPr>
          <w:rFonts w:hint="eastAsia" w:ascii="宋体" w:hAnsi="宋体" w:eastAsia="宋体" w:cs="宋体"/>
          <w:color w:val="000000"/>
          <w:kern w:val="0"/>
          <w:szCs w:val="21"/>
        </w:rPr>
        <w:t>.</w:t>
      </w:r>
      <w:r>
        <w:rPr>
          <w:rFonts w:hint="eastAsia" w:ascii="宋体" w:hAnsi="宋体" w:eastAsia="宋体" w:cs="宋体"/>
          <w:color w:val="FF0000"/>
          <w:szCs w:val="21"/>
        </w:rPr>
        <w:t xml:space="preserve"> </w:t>
      </w:r>
      <w:r>
        <w:rPr>
          <w:rFonts w:hint="eastAsia" w:ascii="宋体" w:hAnsi="宋体" w:eastAsia="宋体" w:cs="宋体"/>
          <w:color w:val="000000"/>
          <w:kern w:val="0"/>
          <w:szCs w:val="21"/>
        </w:rPr>
        <w:t>投标报价要求：</w:t>
      </w:r>
    </w:p>
    <w:p>
      <w:pPr>
        <w:widowControl/>
        <w:adjustRightInd w:val="0"/>
        <w:snapToGrid w:val="0"/>
        <w:spacing w:line="400" w:lineRule="exact"/>
        <w:ind w:firstLine="480" w:firstLineChars="200"/>
        <w:rPr>
          <w:rFonts w:hint="eastAsia"/>
        </w:rPr>
      </w:pPr>
      <w:r>
        <w:rPr>
          <w:rFonts w:hint="eastAsia" w:ascii="宋体" w:hAnsi="宋体" w:eastAsia="宋体" w:cs="宋体"/>
          <w:color w:val="000000"/>
          <w:kern w:val="0"/>
          <w:szCs w:val="21"/>
        </w:rPr>
        <w:t>本次报价为人民币报价，包括产品价、人工、仓储、运输（含二次转运费等）费、下车费、保险费、税费等全部费用。</w:t>
      </w:r>
    </w:p>
    <w:p>
      <w:pPr>
        <w:keepNext w:val="0"/>
        <w:keepLines w:val="0"/>
        <w:pageBreakBefore w:val="0"/>
        <w:kinsoku/>
        <w:wordWrap/>
        <w:overflowPunct/>
        <w:topLinePunct w:val="0"/>
        <w:autoSpaceDE/>
        <w:autoSpaceDN/>
        <w:bidi w:val="0"/>
        <w:spacing w:line="410" w:lineRule="exact"/>
        <w:ind w:firstLine="420"/>
        <w:rPr>
          <w:rFonts w:hint="eastAsia" w:ascii="宋体" w:hAnsi="宋体" w:eastAsia="宋体" w:cs="宋体"/>
          <w:szCs w:val="21"/>
          <w:highlight w:val="none"/>
        </w:rPr>
      </w:pP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样</w:t>
      </w:r>
      <w:r>
        <w:rPr>
          <w:rFonts w:hint="eastAsia" w:ascii="宋体" w:hAnsi="宋体" w:eastAsia="宋体" w:cs="宋体"/>
          <w:szCs w:val="21"/>
          <w:highlight w:val="none"/>
          <w:lang w:eastAsia="zh-CN"/>
        </w:rPr>
        <w:t>品</w:t>
      </w:r>
      <w:r>
        <w:rPr>
          <w:rFonts w:hint="eastAsia" w:ascii="宋体" w:hAnsi="宋体" w:eastAsia="宋体" w:cs="宋体"/>
          <w:szCs w:val="21"/>
          <w:highlight w:val="none"/>
        </w:rPr>
        <w:t>要求：为了</w:t>
      </w:r>
      <w:r>
        <w:rPr>
          <w:rFonts w:hint="eastAsia" w:ascii="宋体" w:hAnsi="宋体" w:eastAsia="宋体" w:cs="宋体"/>
          <w:szCs w:val="21"/>
          <w:highlight w:val="none"/>
          <w:lang w:eastAsia="zh-CN"/>
        </w:rPr>
        <w:t>学具的</w:t>
      </w:r>
      <w:r>
        <w:rPr>
          <w:rFonts w:hint="eastAsia" w:ascii="宋体" w:hAnsi="宋体" w:eastAsia="宋体" w:cs="宋体"/>
          <w:szCs w:val="21"/>
          <w:highlight w:val="none"/>
        </w:rPr>
        <w:t>正版，需提供</w:t>
      </w:r>
      <w:r>
        <w:rPr>
          <w:rFonts w:hint="eastAsia" w:ascii="宋体" w:hAnsi="宋体" w:eastAsia="宋体" w:cs="宋体"/>
          <w:szCs w:val="21"/>
          <w:highlight w:val="none"/>
          <w:lang w:eastAsia="zh-CN"/>
        </w:rPr>
        <w:t>一部分</w:t>
      </w:r>
      <w:r>
        <w:rPr>
          <w:rFonts w:hint="eastAsia" w:ascii="宋体" w:hAnsi="宋体" w:eastAsia="宋体" w:cs="宋体"/>
          <w:szCs w:val="21"/>
          <w:highlight w:val="none"/>
        </w:rPr>
        <w:t>样</w:t>
      </w:r>
      <w:r>
        <w:rPr>
          <w:rFonts w:hint="eastAsia" w:ascii="宋体" w:hAnsi="宋体" w:eastAsia="宋体" w:cs="宋体"/>
          <w:szCs w:val="21"/>
          <w:highlight w:val="none"/>
          <w:lang w:eastAsia="zh-CN"/>
        </w:rPr>
        <w:t>具</w:t>
      </w:r>
      <w:r>
        <w:rPr>
          <w:rFonts w:hint="eastAsia" w:ascii="宋体" w:hAnsi="宋体" w:eastAsia="宋体" w:cs="宋体"/>
          <w:szCs w:val="21"/>
          <w:highlight w:val="none"/>
        </w:rPr>
        <w:t>，评标时当场核实，如有造假，追究法律责任，并拉入政府采购黑名单，3年不得参与政府采购项目。样</w:t>
      </w:r>
      <w:r>
        <w:rPr>
          <w:rFonts w:hint="eastAsia" w:ascii="宋体" w:hAnsi="宋体" w:eastAsia="宋体" w:cs="宋体"/>
          <w:szCs w:val="21"/>
          <w:highlight w:val="none"/>
          <w:lang w:eastAsia="zh-CN"/>
        </w:rPr>
        <w:t>具</w:t>
      </w:r>
      <w:r>
        <w:rPr>
          <w:rFonts w:hint="eastAsia" w:ascii="宋体" w:hAnsi="宋体" w:eastAsia="宋体" w:cs="宋体"/>
          <w:szCs w:val="21"/>
          <w:highlight w:val="none"/>
        </w:rPr>
        <w:t>按照</w:t>
      </w:r>
      <w:r>
        <w:rPr>
          <w:rFonts w:hint="eastAsia" w:ascii="宋体" w:hAnsi="宋体" w:eastAsia="宋体" w:cs="宋体"/>
          <w:szCs w:val="21"/>
          <w:highlight w:val="none"/>
          <w:lang w:eastAsia="zh-CN"/>
        </w:rPr>
        <w:t>样品清单要求提供</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供应商在递交投标文件后，方可递交样品，样品截止接收时间同投标文件递交截止时间。</w:t>
      </w:r>
    </w:p>
    <w:p>
      <w:pPr>
        <w:keepNext w:val="0"/>
        <w:keepLines w:val="0"/>
        <w:pageBreakBefore w:val="0"/>
        <w:kinsoku/>
        <w:wordWrap/>
        <w:overflowPunct/>
        <w:topLinePunct w:val="0"/>
        <w:autoSpaceDE/>
        <w:autoSpaceDN/>
        <w:bidi w:val="0"/>
        <w:spacing w:line="410" w:lineRule="exact"/>
        <w:ind w:firstLine="420"/>
        <w:rPr>
          <w:rFonts w:hint="eastAsia" w:ascii="宋体" w:hAnsi="宋体" w:eastAsia="宋体" w:cs="宋体"/>
          <w:szCs w:val="21"/>
          <w:highlight w:val="none"/>
        </w:rPr>
      </w:pP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样</w:t>
      </w:r>
      <w:r>
        <w:rPr>
          <w:rFonts w:hint="eastAsia" w:ascii="宋体" w:hAnsi="宋体" w:eastAsia="宋体" w:cs="宋体"/>
          <w:szCs w:val="21"/>
          <w:highlight w:val="none"/>
          <w:lang w:eastAsia="zh-CN"/>
        </w:rPr>
        <w:t>品</w:t>
      </w:r>
      <w:r>
        <w:rPr>
          <w:rFonts w:hint="eastAsia" w:ascii="宋体" w:hAnsi="宋体" w:eastAsia="宋体" w:cs="宋体"/>
          <w:szCs w:val="21"/>
          <w:highlight w:val="none"/>
        </w:rPr>
        <w:t>退还：中标人</w:t>
      </w:r>
      <w:r>
        <w:rPr>
          <w:rFonts w:hint="eastAsia" w:ascii="宋体" w:hAnsi="宋体" w:eastAsia="宋体" w:cs="宋体"/>
          <w:szCs w:val="21"/>
          <w:highlight w:val="none"/>
          <w:lang w:eastAsia="zh-CN"/>
        </w:rPr>
        <w:t>所提供</w:t>
      </w:r>
      <w:r>
        <w:rPr>
          <w:rFonts w:hint="eastAsia" w:ascii="宋体" w:hAnsi="宋体" w:eastAsia="宋体" w:cs="宋体"/>
          <w:szCs w:val="21"/>
          <w:highlight w:val="none"/>
        </w:rPr>
        <w:t>的样</w:t>
      </w:r>
      <w:r>
        <w:rPr>
          <w:rFonts w:hint="eastAsia" w:ascii="宋体" w:hAnsi="宋体" w:eastAsia="宋体" w:cs="宋体"/>
          <w:szCs w:val="21"/>
          <w:highlight w:val="none"/>
          <w:lang w:eastAsia="zh-CN"/>
        </w:rPr>
        <w:t>品予以封存</w:t>
      </w:r>
      <w:r>
        <w:rPr>
          <w:rFonts w:hint="eastAsia" w:ascii="宋体" w:hAnsi="宋体" w:eastAsia="宋体" w:cs="宋体"/>
          <w:szCs w:val="21"/>
          <w:highlight w:val="none"/>
        </w:rPr>
        <w:t>作为后期验收标准，供货结束后，采购人予以退还。未中标人提供的样</w:t>
      </w:r>
      <w:r>
        <w:rPr>
          <w:rFonts w:hint="eastAsia" w:ascii="宋体" w:hAnsi="宋体" w:eastAsia="宋体" w:cs="宋体"/>
          <w:szCs w:val="21"/>
          <w:highlight w:val="none"/>
          <w:lang w:eastAsia="zh-CN"/>
        </w:rPr>
        <w:t>品</w:t>
      </w:r>
      <w:r>
        <w:rPr>
          <w:rFonts w:hint="eastAsia" w:ascii="宋体" w:hAnsi="宋体" w:eastAsia="宋体" w:cs="宋体"/>
          <w:szCs w:val="21"/>
          <w:highlight w:val="none"/>
        </w:rPr>
        <w:t>，采购活动结束后退还给投标人。</w:t>
      </w:r>
    </w:p>
    <w:p>
      <w:pPr>
        <w:keepNext w:val="0"/>
        <w:keepLines w:val="0"/>
        <w:pageBreakBefore w:val="0"/>
        <w:kinsoku/>
        <w:wordWrap/>
        <w:overflowPunct/>
        <w:topLinePunct w:val="0"/>
        <w:autoSpaceDE/>
        <w:autoSpaceDN/>
        <w:bidi w:val="0"/>
        <w:spacing w:line="410" w:lineRule="exact"/>
        <w:rPr>
          <w:rFonts w:hint="eastAsia" w:ascii="宋体" w:hAnsi="宋体" w:eastAsia="宋体" w:cs="宋体"/>
          <w:szCs w:val="21"/>
          <w:highlight w:val="none"/>
        </w:rPr>
      </w:pPr>
      <w:r>
        <w:rPr>
          <w:rFonts w:hint="eastAsia" w:ascii="宋体" w:hAnsi="宋体" w:eastAsia="宋体" w:cs="宋体"/>
          <w:szCs w:val="21"/>
          <w:highlight w:val="none"/>
        </w:rPr>
        <w:t>　　</w:t>
      </w:r>
      <w:r>
        <w:rPr>
          <w:rFonts w:hint="eastAsia" w:ascii="宋体" w:hAnsi="宋体" w:eastAsia="宋体" w:cs="宋体"/>
          <w:szCs w:val="21"/>
          <w:highlight w:val="none"/>
          <w:lang w:val="en-US" w:eastAsia="zh-CN"/>
        </w:rPr>
        <w:t>6.</w:t>
      </w:r>
      <w:r>
        <w:rPr>
          <w:rFonts w:hint="eastAsia" w:ascii="宋体" w:hAnsi="宋体" w:eastAsia="宋体" w:cs="宋体"/>
          <w:szCs w:val="21"/>
          <w:highlight w:val="none"/>
        </w:rPr>
        <w:t>项目供货验收时，中标人须在武陟县城区内自行寻找仓库，以供采购人及第三方机构进行验收,合格后方可送货入校。</w:t>
      </w:r>
    </w:p>
    <w:p>
      <w:pPr>
        <w:spacing w:line="400" w:lineRule="exact"/>
        <w:ind w:firstLine="48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7.商品包装要求：</w:t>
      </w:r>
    </w:p>
    <w:p>
      <w:pPr>
        <w:spacing w:line="400" w:lineRule="exact"/>
        <w:ind w:firstLine="48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1）适用范围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本标准规定了商品使用的塑料、纸质、木质等包装材料的环保要求。 </w:t>
      </w:r>
    </w:p>
    <w:p>
      <w:pPr>
        <w:spacing w:line="400" w:lineRule="exact"/>
        <w:ind w:firstLine="482" w:firstLineChars="200"/>
        <w:rPr>
          <w:rFonts w:hint="eastAsia" w:ascii="宋体" w:hAnsi="宋体" w:eastAsia="宋体" w:cs="宋体"/>
          <w:b/>
          <w:bCs/>
          <w:szCs w:val="21"/>
        </w:rPr>
      </w:pPr>
      <w:r>
        <w:rPr>
          <w:rFonts w:hint="eastAsia" w:ascii="宋体" w:hAnsi="宋体" w:eastAsia="宋体" w:cs="宋体"/>
          <w:b/>
          <w:bCs/>
          <w:szCs w:val="21"/>
          <w:lang w:val="en-US" w:eastAsia="zh-CN"/>
        </w:rPr>
        <w:t xml:space="preserve">2）商品包装环保要求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（1）商品包装层数不得超过 3 层，空隙率不大于 40%；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（2）商品包装尽可能使用单一材质的包装材料，如因功能需求必需使用不同材质，不同材质间应便于分离；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（3）商品包装中铅、汞、镉、六价铬的总含量应不大于100mg/kg；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（4）商品包装印刷使用的油墨中挥发性有机化合物(VOCs)含量应不大于 5%（以重量计）；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（5）塑料材质商品包装上呈现的印刷颜色不得超过6色；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（6）纸质商品包装应使用75%以上的可再生纤维原料生产；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（7）木质商品包装的原料应来源于可持续性森林。 </w:t>
      </w:r>
    </w:p>
    <w:p>
      <w:pPr>
        <w:pStyle w:val="2"/>
        <w:rPr>
          <w:rFonts w:hint="eastAsia" w:ascii="宋体" w:hAnsi="宋体" w:eastAsia="宋体" w:cs="宋体"/>
          <w:lang w:val="en-US" w:eastAsia="zh-CN"/>
        </w:rPr>
      </w:pPr>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采购内容及技术要求</w:t>
      </w:r>
    </w:p>
    <w:p>
      <w:pPr>
        <w:spacing w:line="400" w:lineRule="exact"/>
        <w:rPr>
          <w:rFonts w:hint="eastAsia" w:ascii="宋体" w:hAnsi="宋体" w:eastAsia="宋体" w:cs="宋体"/>
          <w:szCs w:val="21"/>
        </w:rPr>
      </w:pPr>
      <w:r>
        <w:rPr>
          <w:rFonts w:hint="eastAsia" w:ascii="宋体" w:hAnsi="宋体" w:eastAsia="宋体" w:cs="宋体"/>
          <w:szCs w:val="21"/>
        </w:rPr>
        <w:t>本项目的核心产品为：</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生物显微镜（500倍）</w:t>
      </w:r>
      <w:r>
        <w:rPr>
          <w:rFonts w:hint="eastAsia" w:ascii="宋体" w:hAnsi="宋体" w:eastAsia="宋体" w:cs="宋体"/>
          <w:szCs w:val="21"/>
          <w:u w:val="single"/>
        </w:rPr>
        <w:t xml:space="preserve">  </w:t>
      </w:r>
      <w:r>
        <w:rPr>
          <w:rFonts w:hint="eastAsia" w:ascii="宋体" w:hAnsi="宋体" w:eastAsia="宋体" w:cs="宋体"/>
          <w:szCs w:val="21"/>
        </w:rPr>
        <w:t>（核心产品仅适用于本项目</w:t>
      </w:r>
      <w:r>
        <w:rPr>
          <w:rFonts w:hint="eastAsia" w:ascii="宋体" w:hAnsi="宋体" w:eastAsia="宋体" w:cs="宋体"/>
          <w:bCs/>
          <w:szCs w:val="21"/>
        </w:rPr>
        <w:t>同一品牌的认定，同一品牌的认定详见投标人须知</w:t>
      </w:r>
      <w:r>
        <w:rPr>
          <w:rFonts w:hint="eastAsia" w:ascii="宋体" w:hAnsi="宋体" w:eastAsia="宋体" w:cs="宋体"/>
          <w:szCs w:val="21"/>
        </w:rPr>
        <w:t>）</w:t>
      </w:r>
    </w:p>
    <w:p>
      <w:pPr>
        <w:jc w:val="center"/>
        <w:rPr>
          <w:rFonts w:hint="eastAsia"/>
          <w:b/>
          <w:bCs/>
          <w:sz w:val="24"/>
          <w:szCs w:val="24"/>
          <w:lang w:eastAsia="zh-CN"/>
        </w:rPr>
      </w:pPr>
    </w:p>
    <w:p>
      <w:pPr>
        <w:pStyle w:val="2"/>
      </w:pPr>
      <w:r>
        <w:rPr>
          <w:rFonts w:hint="eastAsia"/>
          <w:b/>
          <w:bCs/>
          <w:lang w:eastAsia="zh-CN"/>
        </w:rPr>
        <w:t>附件一：</w:t>
      </w:r>
      <w:r>
        <w:rPr>
          <w:rFonts w:hint="eastAsia" w:ascii="宋体" w:hAnsi="宋体" w:cs="宋体"/>
          <w:b/>
          <w:bCs/>
          <w:szCs w:val="21"/>
          <w:lang w:eastAsia="zh-CN"/>
        </w:rPr>
        <w:t>注：本表所列配备数量为</w:t>
      </w:r>
      <w:r>
        <w:rPr>
          <w:rFonts w:hint="eastAsia" w:ascii="宋体" w:hAnsi="宋体" w:cs="宋体"/>
          <w:b/>
          <w:bCs/>
          <w:szCs w:val="21"/>
          <w:lang w:val="en-US" w:eastAsia="zh-CN"/>
        </w:rPr>
        <w:t>15所学校的总数量，供货时每所学校的配备数量为下表所列配备数量除以15。</w:t>
      </w:r>
    </w:p>
    <w:tbl>
      <w:tblPr>
        <w:tblStyle w:val="6"/>
        <w:tblW w:w="10230" w:type="dxa"/>
        <w:jc w:val="center"/>
        <w:tblLayout w:type="fixed"/>
        <w:tblCellMar>
          <w:top w:w="0" w:type="dxa"/>
          <w:left w:w="0" w:type="dxa"/>
          <w:bottom w:w="0" w:type="dxa"/>
          <w:right w:w="0" w:type="dxa"/>
        </w:tblCellMar>
      </w:tblPr>
      <w:tblGrid>
        <w:gridCol w:w="616"/>
        <w:gridCol w:w="940"/>
        <w:gridCol w:w="7556"/>
        <w:gridCol w:w="592"/>
        <w:gridCol w:w="510"/>
        <w:gridCol w:w="16"/>
      </w:tblGrid>
      <w:tr>
        <w:tblPrEx>
          <w:tblCellMar>
            <w:top w:w="0" w:type="dxa"/>
            <w:left w:w="0" w:type="dxa"/>
            <w:bottom w:w="0" w:type="dxa"/>
            <w:right w:w="0" w:type="dxa"/>
          </w:tblCellMar>
        </w:tblPrEx>
        <w:trPr>
          <w:trHeight w:val="494" w:hRule="atLeast"/>
          <w:jc w:val="center"/>
        </w:trPr>
        <w:tc>
          <w:tcPr>
            <w:tcW w:w="10230" w:type="dxa"/>
            <w:gridSpan w:val="6"/>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keepNext w:val="0"/>
              <w:keepLines w:val="0"/>
              <w:pageBreakBefore w:val="0"/>
              <w:kinsoku/>
              <w:wordWrap/>
              <w:overflowPunct/>
              <w:topLinePunct w:val="0"/>
              <w:autoSpaceDE/>
              <w:autoSpaceDN/>
              <w:bidi w:val="0"/>
              <w:spacing w:line="390" w:lineRule="exact"/>
              <w:jc w:val="center"/>
              <w:rPr>
                <w:rFonts w:hint="eastAsia" w:ascii="宋体" w:hAnsi="宋体" w:eastAsia="宋体" w:cs="宋体"/>
                <w:b w:val="0"/>
                <w:bCs/>
                <w:i w:val="0"/>
                <w:color w:val="auto"/>
                <w:kern w:val="0"/>
                <w:sz w:val="21"/>
                <w:szCs w:val="21"/>
                <w:u w:val="none"/>
                <w:lang w:val="en-US" w:eastAsia="zh-CN" w:bidi="ar"/>
              </w:rPr>
            </w:pPr>
            <w:r>
              <w:rPr>
                <w:rFonts w:hint="eastAsia" w:ascii="宋体" w:hAnsi="宋体" w:eastAsia="宋体" w:cs="宋体"/>
                <w:b w:val="0"/>
                <w:bCs/>
                <w:i w:val="0"/>
                <w:color w:val="auto"/>
                <w:kern w:val="0"/>
                <w:sz w:val="21"/>
                <w:szCs w:val="21"/>
                <w:u w:val="none"/>
                <w:lang w:val="en-US" w:eastAsia="zh-CN" w:bidi="ar"/>
              </w:rPr>
              <w:t>小学数学</w:t>
            </w:r>
          </w:p>
        </w:tc>
      </w:tr>
      <w:tr>
        <w:tblPrEx>
          <w:tblCellMar>
            <w:top w:w="0" w:type="dxa"/>
            <w:left w:w="0" w:type="dxa"/>
            <w:bottom w:w="0" w:type="dxa"/>
            <w:right w:w="0" w:type="dxa"/>
          </w:tblCellMar>
        </w:tblPrEx>
        <w:trPr>
          <w:trHeight w:val="345" w:hRule="atLeast"/>
          <w:jc w:val="center"/>
        </w:trPr>
        <w:tc>
          <w:tcPr>
            <w:tcW w:w="616"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序号</w:t>
            </w:r>
          </w:p>
        </w:tc>
        <w:tc>
          <w:tcPr>
            <w:tcW w:w="940"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货物名称</w:t>
            </w:r>
          </w:p>
        </w:tc>
        <w:tc>
          <w:tcPr>
            <w:tcW w:w="7556"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参数要求</w:t>
            </w:r>
          </w:p>
        </w:tc>
        <w:tc>
          <w:tcPr>
            <w:tcW w:w="592"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单位</w:t>
            </w:r>
          </w:p>
        </w:tc>
        <w:tc>
          <w:tcPr>
            <w:tcW w:w="526" w:type="dxa"/>
            <w:gridSpan w:val="2"/>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配备数量</w:t>
            </w:r>
          </w:p>
        </w:tc>
      </w:tr>
      <w:tr>
        <w:tblPrEx>
          <w:tblCellMar>
            <w:top w:w="0" w:type="dxa"/>
            <w:left w:w="0" w:type="dxa"/>
            <w:bottom w:w="0" w:type="dxa"/>
            <w:right w:w="0" w:type="dxa"/>
          </w:tblCellMar>
        </w:tblPrEx>
        <w:trPr>
          <w:trHeight w:val="114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计算器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整体尺寸不小于15*8cm，10位数、单行LCD显示、有分数计算功能、有平均数运算功能、有独立储存器功能（具备保留运算过程功能，关机后能清除原运算过程及数据）、有临时储存器功能、有普通四则运算功能、有自动关机功能、应保留普通计算器的其他功能。执行国家《GB-T 4967-1995》（电子计算器通用标准）及教育部JY/T 0382－2007《学生计算器》标准，与国家教育部颁布的《课程标准》要求相符合。                                         </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30</w:t>
            </w:r>
          </w:p>
        </w:tc>
      </w:tr>
      <w:tr>
        <w:tblPrEx>
          <w:tblCellMar>
            <w:top w:w="0" w:type="dxa"/>
            <w:left w:w="0" w:type="dxa"/>
            <w:bottom w:w="0" w:type="dxa"/>
            <w:right w:w="0" w:type="dxa"/>
          </w:tblCellMar>
        </w:tblPrEx>
        <w:trPr>
          <w:trHeight w:val="57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软尺</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软塑。规格：2000mm。宽不小于12mm，厚不小于0.3mm，最小分度值为1mm，每厘米之间有相应的数字，刻度清晰，无形变。两端金属封边。</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60</w:t>
            </w:r>
          </w:p>
        </w:tc>
      </w:tr>
      <w:tr>
        <w:tblPrEx>
          <w:tblCellMar>
            <w:top w:w="0" w:type="dxa"/>
            <w:left w:w="0" w:type="dxa"/>
            <w:bottom w:w="0" w:type="dxa"/>
            <w:right w:w="0" w:type="dxa"/>
          </w:tblCellMar>
        </w:tblPrEx>
        <w:trPr>
          <w:trHeight w:val="97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卷尺</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尺带外形尺寸宽不小于12mm，厚不小于0.3mm，测量范围20m，允许误差±5mm，顶端应有手拉塑料环，标有m标记。包装盒外形尺寸不小于130mm×130mm×22mm。产品符合JJG5-2000《布卷尺》的要求。</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60</w:t>
            </w:r>
          </w:p>
        </w:tc>
      </w:tr>
      <w:tr>
        <w:tblPrEx>
          <w:tblCellMar>
            <w:top w:w="0" w:type="dxa"/>
            <w:left w:w="0" w:type="dxa"/>
            <w:bottom w:w="0" w:type="dxa"/>
            <w:right w:w="0" w:type="dxa"/>
          </w:tblCellMar>
        </w:tblPrEx>
        <w:trPr>
          <w:trHeight w:val="299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托盘天平</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整体尺寸不小于30*14*29（cm）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1．最大称量500g，分度值0.5 g。</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2．秤量允许误差为±0.5d(分度值)。</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3．砝码组合的总质量（包括标尺计量值）应不小于天平的最大秤量。</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4．冲压件及铸件表面应光洁平整，不应有毛刺、锋棱、裂纹和显见砂眼。</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5．电镀件的镀层应色泽均匀，不应有露底和显见的麻点、水迹、擦伤等缺陷。</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6．油漆件表面应平整光滑，色泽均匀，不应有露底、起泡、挂漆、擦伤等缺陷。</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7．产品应符合JY104-82《学生天平》的有关规定。                                                                                                                                       8．符合JY0001－2003《教学仪器一般质量要求》的有关规定。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30</w:t>
            </w:r>
          </w:p>
        </w:tc>
      </w:tr>
      <w:tr>
        <w:tblPrEx>
          <w:tblCellMar>
            <w:top w:w="0" w:type="dxa"/>
            <w:left w:w="0" w:type="dxa"/>
            <w:bottom w:w="0" w:type="dxa"/>
            <w:right w:w="0" w:type="dxa"/>
          </w:tblCellMar>
        </w:tblPrEx>
        <w:trPr>
          <w:trHeight w:val="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highlight w:val="none"/>
                <w:u w:val="none"/>
                <w:lang w:val="en-US" w:eastAsia="zh-CN" w:bidi="ar"/>
              </w:rPr>
              <w:t>简易天平</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left"/>
              <w:textAlignment w:val="center"/>
              <w:rPr>
                <w:rFonts w:hint="eastAsia" w:ascii="宋体" w:hAnsi="宋体" w:eastAsia="宋体" w:cs="宋体"/>
                <w:b w:val="0"/>
                <w:bCs/>
                <w:color w:val="auto"/>
                <w:sz w:val="21"/>
                <w:szCs w:val="21"/>
              </w:rPr>
            </w:pPr>
            <w:r>
              <w:rPr>
                <w:rFonts w:hint="eastAsia" w:ascii="宋体" w:hAnsi="宋体" w:eastAsia="宋体" w:cs="宋体"/>
                <w:b w:val="0"/>
                <w:bCs/>
                <w:i w:val="0"/>
                <w:color w:val="auto"/>
                <w:kern w:val="0"/>
                <w:sz w:val="21"/>
                <w:szCs w:val="21"/>
                <w:u w:val="none"/>
                <w:lang w:val="en-US" w:eastAsia="zh-CN" w:bidi="ar"/>
              </w:rPr>
              <w:t xml:space="preserve"> </w:t>
            </w:r>
            <w:r>
              <w:rPr>
                <w:rFonts w:hint="eastAsia" w:ascii="宋体" w:hAnsi="宋体" w:eastAsia="宋体" w:cs="宋体"/>
                <w:b w:val="0"/>
                <w:bCs/>
                <w:color w:val="auto"/>
                <w:sz w:val="21"/>
                <w:szCs w:val="21"/>
              </w:rPr>
              <w:t>200g，1g，指针式。由底座1个、横梁带托盘架1个、托盘筒2只、游码1个、红色指针2枚、砝码包括：20g砝码8个，10g砝码4个、Ⅱ形调平游码1个组成。底座外形尺寸110×86×82mm，顶部对称V形缺口，横梁带托盘架长约265mm，正面印有0～6数字，左右延伸，间距10mm分度刻线，与游码配合滑动灵活。托盘筒为200ml半透明塑料筒，外形与托盘架配合效果良好。组装后就摆放平稳，横梁摆动灵活。符合JY0001－2003《教学仪器一般质量要求》的有关规定。</w:t>
            </w:r>
          </w:p>
          <w:p>
            <w:pPr>
              <w:keepNext w:val="0"/>
              <w:keepLines w:val="0"/>
              <w:pageBreakBefore w:val="0"/>
              <w:widowControl/>
              <w:suppressLineNumbers w:val="0"/>
              <w:kinsoku/>
              <w:wordWrap/>
              <w:overflowPunct/>
              <w:topLinePunct w:val="0"/>
              <w:autoSpaceDE/>
              <w:autoSpaceDN/>
              <w:bidi w:val="0"/>
              <w:spacing w:line="390" w:lineRule="exact"/>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color w:val="auto"/>
                <w:sz w:val="21"/>
                <w:szCs w:val="21"/>
              </w:rPr>
              <w:t>★</w:t>
            </w:r>
            <w:r>
              <w:rPr>
                <w:rFonts w:hint="eastAsia" w:ascii="宋体" w:hAnsi="宋体" w:eastAsia="宋体" w:cs="宋体"/>
                <w:b w:val="0"/>
                <w:bCs/>
                <w:i w:val="0"/>
                <w:color w:val="auto"/>
                <w:kern w:val="0"/>
                <w:sz w:val="21"/>
                <w:szCs w:val="21"/>
                <w:highlight w:val="none"/>
                <w:u w:val="none"/>
                <w:lang w:val="en-US" w:eastAsia="zh-CN" w:bidi="ar"/>
              </w:rPr>
              <w:t>（提供检验机构出具的检验报告复印件加盖公章，检验报告封面需带二维码认证鉴别真伪并与投标产品名称一致）；</w:t>
            </w:r>
            <w:r>
              <w:rPr>
                <w:rFonts w:hint="eastAsia" w:ascii="宋体" w:hAnsi="宋体" w:eastAsia="宋体" w:cs="宋体"/>
                <w:b/>
                <w:bCs w:val="0"/>
                <w:szCs w:val="21"/>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r>
              <w:rPr>
                <w:rFonts w:hint="eastAsia" w:ascii="宋体" w:hAnsi="宋体" w:eastAsia="宋体" w:cs="宋体"/>
                <w:b w:val="0"/>
                <w:bCs/>
                <w:i w:val="0"/>
                <w:color w:val="auto"/>
                <w:kern w:val="0"/>
                <w:sz w:val="21"/>
                <w:szCs w:val="21"/>
                <w:highlight w:val="none"/>
                <w:u w:val="none"/>
                <w:lang w:val="en-US" w:eastAsia="zh-CN" w:bidi="ar"/>
              </w:rPr>
              <w:t xml:space="preserve">           </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60</w:t>
            </w:r>
          </w:p>
        </w:tc>
      </w:tr>
      <w:tr>
        <w:tblPrEx>
          <w:tblCellMar>
            <w:top w:w="0" w:type="dxa"/>
            <w:left w:w="0" w:type="dxa"/>
            <w:bottom w:w="0" w:type="dxa"/>
            <w:right w:w="0" w:type="dxa"/>
          </w:tblCellMar>
        </w:tblPrEx>
        <w:trPr>
          <w:trHeight w:val="461"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弹簧度盘秤</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产品为全塑料制作，指针式仪表盘，直径不小于165mm，透明可视，秤盘、盘托、支架、计量弹簧、外壳等部件。应带有归零可调装置。秤座高度不小于160mm，顶部尺寸不小于100mm×80mm，底部尺寸不小于220mm×150mm，最大称量1kg，数字可视值区间为50g，分度值5g，准确度等级应为3级，称量允差±5g，应符合GB/T 11884-2008《弹簧度盘秤》的有关要求。</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30</w:t>
            </w:r>
          </w:p>
        </w:tc>
      </w:tr>
      <w:tr>
        <w:tblPrEx>
          <w:tblCellMar>
            <w:top w:w="0" w:type="dxa"/>
            <w:left w:w="0" w:type="dxa"/>
            <w:bottom w:w="0" w:type="dxa"/>
            <w:right w:w="0" w:type="dxa"/>
          </w:tblCellMar>
        </w:tblPrEx>
        <w:trPr>
          <w:trHeight w:val="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弹簧秤</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整体长度不小于15（cm）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1、产品由圆筒1个、拉环1个、刻度牌1块、拉钩1个、拉簧1个组成。2、指示机构不应过松、过紧、卡滞。3、组装后的弹簧秤为圆筒式。4、最大称重为2.5kg±5g。采用优质钢材，防锈处理。产品符合JY127-82《弹簧秤》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spacing w:line="390" w:lineRule="exact"/>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30</w:t>
            </w:r>
          </w:p>
        </w:tc>
      </w:tr>
      <w:tr>
        <w:tblPrEx>
          <w:tblCellMar>
            <w:top w:w="0" w:type="dxa"/>
            <w:left w:w="0" w:type="dxa"/>
            <w:bottom w:w="0" w:type="dxa"/>
            <w:right w:w="0" w:type="dxa"/>
          </w:tblCellMar>
        </w:tblPrEx>
        <w:trPr>
          <w:trHeight w:val="796"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电子停表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功能：1，24小时制时、分、秒显示；2、月份、日期显示；3、ABS材料；触发式按键；显示精度1/100秒；0，1S；防水结构；1，5V；外面彩色纸盒包装。</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30</w:t>
            </w:r>
          </w:p>
        </w:tc>
      </w:tr>
      <w:tr>
        <w:tblPrEx>
          <w:tblCellMar>
            <w:top w:w="0" w:type="dxa"/>
            <w:left w:w="0" w:type="dxa"/>
            <w:bottom w:w="0" w:type="dxa"/>
            <w:right w:w="0" w:type="dxa"/>
          </w:tblCellMar>
        </w:tblPrEx>
        <w:trPr>
          <w:trHeight w:val="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highlight w:val="none"/>
                <w:u w:val="none"/>
                <w:lang w:val="en-US" w:eastAsia="zh-CN" w:bidi="ar"/>
              </w:rPr>
              <w:t>三角板</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三角板分60°、45°各1块。材料用塑料注塑成型,色泽为黄色；三角板中间位置设有可拆卸画线把手，把手脱卸方便。等腰直角三角形，其斜边长不小于565mm，两底角为45度。直角三角形的长直角边不小于565mm，斜边长不小于650mm,与斜边的夹角为30度，另一底角为60度，所有角度误差不超过±1度。三角板厚不小于8mm，手把实际高度不小于45mm，长度不小于115mm。刻度标记：等腰三角板两直角边和直角三角形的长直角边印刻线，每0.5cm一小格,每1cm一中格,每5cm一长格。三角板平面度误差不超过1mm，各边的直线度误差不超过1mm，刻线清晰、无重线、断线、缺字。</w:t>
            </w:r>
            <w:r>
              <w:rPr>
                <w:rFonts w:hint="eastAsia" w:ascii="宋体" w:hAnsi="宋体" w:eastAsia="宋体" w:cs="宋体"/>
                <w:b w:val="0"/>
                <w:bCs/>
                <w:color w:val="auto"/>
                <w:sz w:val="21"/>
                <w:szCs w:val="21"/>
                <w:highlight w:val="none"/>
              </w:rPr>
              <w:t>★</w:t>
            </w:r>
            <w:r>
              <w:rPr>
                <w:rFonts w:hint="eastAsia" w:ascii="宋体" w:hAnsi="宋体" w:eastAsia="宋体" w:cs="宋体"/>
                <w:b w:val="0"/>
                <w:bCs/>
                <w:i w:val="0"/>
                <w:color w:val="auto"/>
                <w:kern w:val="0"/>
                <w:sz w:val="21"/>
                <w:szCs w:val="21"/>
                <w:highlight w:val="none"/>
                <w:u w:val="none"/>
                <w:lang w:val="en-US" w:eastAsia="zh-CN" w:bidi="ar"/>
              </w:rPr>
              <w:t>（提供检验机构出具的检验报告复印件加盖公章，检验报告封面需带二维码认证鉴别真伪并与投标产品名称一致）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30</w:t>
            </w:r>
          </w:p>
        </w:tc>
      </w:tr>
      <w:tr>
        <w:tblPrEx>
          <w:tblCellMar>
            <w:top w:w="0" w:type="dxa"/>
            <w:left w:w="0" w:type="dxa"/>
            <w:bottom w:w="0" w:type="dxa"/>
            <w:right w:w="0" w:type="dxa"/>
          </w:tblCellMar>
        </w:tblPrEx>
        <w:trPr>
          <w:trHeight w:val="155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圆规</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演示用，由规身、粉笔套、规脚等三部份组成，总长445mm，规身表面无缺陷、无丝裂，不易变形。圆规前端粉笔夹能夹持6mm—Φ12mm的粉笔，粉笔夹插孔深度不小于25mm。规脚由塑料吸盘组成。，圆规尾部用M5螺栓连接，蝶形螺母紧固。</w:t>
            </w:r>
            <w:r>
              <w:rPr>
                <w:rFonts w:hint="eastAsia" w:ascii="宋体" w:hAnsi="宋体" w:eastAsia="宋体" w:cs="宋体"/>
                <w:b w:val="0"/>
                <w:bCs/>
                <w:color w:val="auto"/>
                <w:sz w:val="21"/>
                <w:szCs w:val="21"/>
              </w:rPr>
              <w:t>★</w:t>
            </w:r>
            <w:r>
              <w:rPr>
                <w:rFonts w:hint="eastAsia" w:ascii="宋体" w:hAnsi="宋体" w:eastAsia="宋体" w:cs="宋体"/>
                <w:b w:val="0"/>
                <w:bCs/>
                <w:i w:val="0"/>
                <w:color w:val="auto"/>
                <w:kern w:val="0"/>
                <w:sz w:val="21"/>
                <w:szCs w:val="21"/>
                <w:highlight w:val="none"/>
                <w:u w:val="none"/>
                <w:lang w:val="en-US" w:eastAsia="zh-CN" w:bidi="ar"/>
              </w:rPr>
              <w:t>（提供检验机构出具的检验报告复印件加盖公章，检验报告封面需带二维码认证鉴别真伪并与投标产品名称一致）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30</w:t>
            </w:r>
          </w:p>
        </w:tc>
      </w:tr>
      <w:tr>
        <w:tblPrEx>
          <w:tblCellMar>
            <w:top w:w="0" w:type="dxa"/>
            <w:left w:w="0" w:type="dxa"/>
            <w:bottom w:w="0" w:type="dxa"/>
            <w:right w:w="0" w:type="dxa"/>
          </w:tblCellMar>
        </w:tblPrEx>
        <w:trPr>
          <w:trHeight w:val="115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量角器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由塑料注塑成型,色泽为黄色。量角器中间位置设有画线工作手把1）外形尺寸：500mm×282mm×10（±2mm；）有效工作尺寸为500mm；3）有效测量角度为0～180；4）手把高度为48mm，长度为116mm，公差±1mm；5）量角器直边印有0～50cm刻线；6）每0.5cm一小格；7）每1cm一中格；8）每5cm一长格，9）顺时针方向和逆时针方向均印有0～180°数字读数值；11）角度分度格线为每1°为一小格；12）每5°为一长格；13）每10°为一长格，并标有以10°为单位和角度读数值。</w:t>
            </w:r>
            <w:r>
              <w:rPr>
                <w:rFonts w:hint="eastAsia" w:ascii="宋体" w:hAnsi="宋体" w:eastAsia="宋体" w:cs="宋体"/>
                <w:b w:val="0"/>
                <w:bCs/>
                <w:color w:val="auto"/>
                <w:sz w:val="21"/>
                <w:szCs w:val="21"/>
              </w:rPr>
              <w:t>★</w:t>
            </w:r>
            <w:r>
              <w:rPr>
                <w:rFonts w:hint="eastAsia" w:ascii="宋体" w:hAnsi="宋体" w:eastAsia="宋体" w:cs="宋体"/>
                <w:b w:val="0"/>
                <w:bCs/>
                <w:i w:val="0"/>
                <w:color w:val="auto"/>
                <w:kern w:val="0"/>
                <w:sz w:val="21"/>
                <w:szCs w:val="21"/>
                <w:highlight w:val="none"/>
                <w:u w:val="none"/>
                <w:lang w:val="en-US" w:eastAsia="zh-CN" w:bidi="ar"/>
              </w:rPr>
              <w:t>（提供检验机构出具的检验报告复印件加盖公章，检验报告封面需带二维码认证鉴别真伪并与投标产品名称一致）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329"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bidi w:val="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专用直尺</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bidi w:val="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最小分度值：1cm。外形尺寸：1000mm×45mm×8mm，全尺刻度累计误差≤2mm，尺面平面度公差≤3mm，尺边直线度公差≤2mm，两面均涂白色漆，历印，黑色刻度线和红色数字。</w:t>
            </w:r>
            <w:r>
              <w:rPr>
                <w:rFonts w:hint="eastAsia" w:ascii="宋体" w:hAnsi="宋体" w:eastAsia="宋体" w:cs="宋体"/>
                <w:b w:val="0"/>
                <w:bCs/>
                <w:color w:val="auto"/>
                <w:sz w:val="21"/>
                <w:szCs w:val="21"/>
              </w:rPr>
              <w:t>★</w:t>
            </w:r>
            <w:r>
              <w:rPr>
                <w:rFonts w:hint="eastAsia" w:ascii="宋体" w:hAnsi="宋体" w:eastAsia="宋体" w:cs="宋体"/>
                <w:b w:val="0"/>
                <w:bCs/>
                <w:i w:val="0"/>
                <w:color w:val="auto"/>
                <w:kern w:val="0"/>
                <w:sz w:val="21"/>
                <w:szCs w:val="21"/>
                <w:highlight w:val="none"/>
                <w:u w:val="none"/>
                <w:lang w:val="en-US" w:eastAsia="zh-CN" w:bidi="ar"/>
              </w:rPr>
              <w:t>（提供检验机构出具的检验报告复印件加盖公章，检验报告封面需带二维码认证鉴别真伪并与投标产品名称一致）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支</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17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标杆</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1.本仪器整体长度1600mm。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2.整体为塑料制，整体无毛刺，有红白相间颜色。</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3.枪头要求坚固为塑料制，使用安全。</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4.产品应符合JY172-84《标杆》5.符合JY0001-2003《教学仪器一般质量要求》的有关规定。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支</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186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测绳</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 涤纶绳，标称测量范围50m,绳粗≥2.5mm，分度值1m，分度值允差±10mm，每10米允差±50mm，总长允差±250mm，分度标记清晰,应与测绳结合牢固。</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 在正常使用情况下及常温贮存一年以上,其总长度变化应≤50mm,总长允差应≤300mm。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 测绳两端装有金属拉环，金属拉环表面镀铬，金属拉环与绳结合牢固。</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 其余应符合JY0001-2003第6、7章的有关要求。</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条</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30</w:t>
            </w:r>
          </w:p>
        </w:tc>
      </w:tr>
      <w:tr>
        <w:tblPrEx>
          <w:tblCellMar>
            <w:top w:w="0" w:type="dxa"/>
            <w:left w:w="0" w:type="dxa"/>
            <w:bottom w:w="0" w:type="dxa"/>
            <w:right w:w="0" w:type="dxa"/>
          </w:tblCellMar>
        </w:tblPrEx>
        <w:trPr>
          <w:trHeight w:val="81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塑料球</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产品为有三种颜色的塑料球，外径15mm。每种颜色各8个，共24个。配有布质不透明袋一个。产品符合JY0001-2003《教学仪器一般质量要求》的有关规定。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58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塑料小球</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五种颜色的塑料球，外径不小于6mm。每种颜色各10个，共50个。配有布质不透明袋一个。产品符合JY0001-2003《教学仪器一般质量要求》的有关规定。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27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竖式计数器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numPr>
                <w:ilvl w:val="0"/>
                <w:numId w:val="4"/>
              </w:numPr>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演示用，竖式计数器是由底座、挡板、珠杆、算珠组成，2.底座和挡板采用木制。3.底座尺寸不小于：220×90×60mm；4.竖式计数器为三档，每档有算珠10 个，算珠为空心，直径不小于35mm，厚不小于16mm，算珠中心有一直径6mm 珠孔，算珠在珠杆上应滑动灵活自如，不得有卡死等现象珠杆与底座应衔接牢固，无松脱现象。挡板能挡住10 个算珠；5.珠杆用钢丝制成。摆放平稳，使用方便。木材采用优质环保木料，表面环保油漆涂层精制而成。</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84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竖式计数器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1.演示用，五档；每档算珠一种颜色，共五色。2.个、十、百、千、万应采用正方形：50mm×50mm，厚4mm的塑料上印刷、共五块，背面带磁铁。3.两杆间距45mm，杆的直径为3.4mm的镀锌铁，表面光滑无划痕；4.每档10个算珠，算珠直径30mm，厚度10mm，为实心塑料材料，在金属杆上滑动灵活；5.杆用螺母和弹簧垫固定在底座上，底座和挡板用2mm的冷轧板加工而成，表面烤漆处理，底座高度50mm，长度240mm；宽度100mm；挡板高度155mm.各部分之间连接牢固，不脱落和松动。</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86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竖式计数器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学生用竖式计数器，外形应不小于尺寸：120mm×70mm×90mm，档板应不小于尺寸：130mm×65mm×5mm，档板能遮挡全部算珠，共有五档算珠，计数器底座一面印有相应的数位“个、十、百、千、万”，算珠杠为塑料的U型杠。</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180</w:t>
            </w:r>
          </w:p>
        </w:tc>
      </w:tr>
      <w:tr>
        <w:tblPrEx>
          <w:tblCellMar>
            <w:top w:w="0" w:type="dxa"/>
            <w:left w:w="0" w:type="dxa"/>
            <w:bottom w:w="0" w:type="dxa"/>
            <w:right w:w="0" w:type="dxa"/>
          </w:tblCellMar>
        </w:tblPrEx>
        <w:trPr>
          <w:trHeight w:val="5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计数棒</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演示用，每10根一捆，共10捆，材质为塑料（实心、牢固、不易折断），棒长不小于90ｍｍ，截面直径为Φ3±1ｍｍ，数量100支。</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30</w:t>
            </w:r>
          </w:p>
        </w:tc>
      </w:tr>
      <w:tr>
        <w:tblPrEx>
          <w:tblCellMar>
            <w:top w:w="0" w:type="dxa"/>
            <w:left w:w="0" w:type="dxa"/>
            <w:bottom w:w="0" w:type="dxa"/>
            <w:right w:w="0" w:type="dxa"/>
          </w:tblCellMar>
        </w:tblPrEx>
        <w:trPr>
          <w:trHeight w:val="454"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钉板</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演示用，采用胶合板，两用，规格不小于590mm×390mm×10mm，框架边缘应采用铝合金包边，配彩色橡皮筋，板面图案采用喷绘制作，表面覆光膜，板面上应绘有等分方格160块，在方格的每一交点处嵌有铜钉，铜钉均等高，钉头应比钉身大，防止橡皮筋滑落，用橡皮筋可在钉板上直观地围成几何图形。钉板背面应可供粉笔书写。产品符合JY0344-94《钉板》的要求. </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15</w:t>
            </w:r>
          </w:p>
        </w:tc>
      </w:tr>
      <w:tr>
        <w:tblPrEx>
          <w:tblCellMar>
            <w:top w:w="0" w:type="dxa"/>
            <w:left w:w="0" w:type="dxa"/>
            <w:bottom w:w="0" w:type="dxa"/>
            <w:right w:w="0" w:type="dxa"/>
          </w:tblCellMar>
        </w:tblPrEx>
        <w:trPr>
          <w:trHeight w:val="363"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钉板</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塑料制品，由钉板和橡皮圈组成，板的尺寸不小于140mm×140mm×5mm，一面有49个塑料钉组成，间隔20mm分布。另一面由17个塑料钉围成一个圆，其中一个钉为圆心。产品产品符合JY0344-94《钉板》的要求。</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180</w:t>
            </w:r>
          </w:p>
        </w:tc>
      </w:tr>
      <w:tr>
        <w:tblPrEx>
          <w:tblCellMar>
            <w:top w:w="0" w:type="dxa"/>
            <w:left w:w="0" w:type="dxa"/>
            <w:bottom w:w="0" w:type="dxa"/>
            <w:right w:w="0" w:type="dxa"/>
          </w:tblCellMar>
        </w:tblPrEx>
        <w:trPr>
          <w:trHeight w:val="6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数字骰子</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尺寸不小于12mm×12mm×12mm，每个侧面上有不同的数字“1、2、3、4、5、6”表示,数量为3个。产品满足小学数学教学的要求。</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6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空白骰子</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尺寸不小于12mm×12mm×12mm，数量为2个。产品满足小学数学教学的要求。</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247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数字转盘</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仪器由面板、底座、主轴、指针、组成，底座底部直径160mm，外缘高度5.5±0.2mm，圆周为链轮形花边齿，齿数为36个。底座中部直径Φ100±1mm，圆周花边齿数为16个。顶部有凸出的R3.4的半球面，底座底部反面有三个均布的通槽，槽宽22mm，槽深0.6mm。盘面直径不小于185mm，盘缘高度6±0.26mm，盘面底部中心有凹下R3.5的半球面，以圆心为中心将盘面分为十个等分区，每个区内有不同的数字，印有0-9的数字，指针固定在盘面上，旋转盘面，等盘面停止观察指针所指的数字。产品选用ABS，及聚丙稀全新塑料注塑而成，无毒、环保、性能好。</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90</w:t>
            </w:r>
          </w:p>
        </w:tc>
      </w:tr>
      <w:tr>
        <w:tblPrEx>
          <w:tblCellMar>
            <w:top w:w="0" w:type="dxa"/>
            <w:left w:w="0" w:type="dxa"/>
            <w:bottom w:w="0" w:type="dxa"/>
            <w:right w:w="0" w:type="dxa"/>
          </w:tblCellMar>
        </w:tblPrEx>
        <w:trPr>
          <w:trHeight w:val="184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色块转盘</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产品为电动式。1、由底座、转盘、色块片（红、黄、蓝、绿、白）、指针、电机、开关、电池盒、主轴、电机轴、透明压片组成。2、底座为塑料注塑成型，直径119mm，高53mm，电机、开关、主轴均固定于底座上。3、转盘为塑料注塑成型，直径为130mm，厚14mm，中心装有轴承。4、色块片为5种塑料片制成，色块面积大小可调。5、指针为红色塑料指针。6、透明压片直径90mm。                                 </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90</w:t>
            </w:r>
          </w:p>
        </w:tc>
      </w:tr>
      <w:tr>
        <w:tblPrEx>
          <w:tblCellMar>
            <w:top w:w="0" w:type="dxa"/>
            <w:left w:w="0" w:type="dxa"/>
            <w:bottom w:w="0" w:type="dxa"/>
            <w:right w:w="0" w:type="dxa"/>
          </w:tblCellMar>
        </w:tblPrEx>
        <w:trPr>
          <w:trHeight w:val="31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空白转盘</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bidi w:val="0"/>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color w:val="auto"/>
                <w:sz w:val="21"/>
                <w:szCs w:val="21"/>
                <w:highlight w:val="none"/>
              </w:rPr>
              <w:t>由底座、立柱、转盘片、指针组成。转盘片直径100mm，转盘表面以圆心为中心将盘面分为若干个等分区，每个区内空白，可自行绘制颜色或数字。指针为黑色。整个转盘转动灵活。</w:t>
            </w:r>
            <w:r>
              <w:rPr>
                <w:rFonts w:hint="eastAsia" w:ascii="宋体" w:hAnsi="宋体" w:eastAsia="宋体" w:cs="宋体"/>
                <w:b w:val="0"/>
                <w:bCs/>
                <w:color w:val="auto"/>
                <w:sz w:val="21"/>
                <w:szCs w:val="21"/>
              </w:rPr>
              <w:t>★</w:t>
            </w:r>
            <w:r>
              <w:rPr>
                <w:rFonts w:hint="eastAsia" w:ascii="宋体" w:hAnsi="宋体" w:eastAsia="宋体" w:cs="宋体"/>
                <w:b w:val="0"/>
                <w:bCs/>
                <w:i w:val="0"/>
                <w:color w:val="auto"/>
                <w:kern w:val="0"/>
                <w:sz w:val="21"/>
                <w:szCs w:val="21"/>
                <w:highlight w:val="none"/>
                <w:u w:val="none"/>
                <w:lang w:val="en-US" w:eastAsia="zh-CN" w:bidi="ar"/>
              </w:rPr>
              <w:t>（提供检验机构出具的检验报告复印件加盖公章，检验报告封面需带二维码认证鉴别真伪并与投标产品名称一致）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90</w:t>
            </w:r>
          </w:p>
        </w:tc>
      </w:tr>
      <w:tr>
        <w:tblPrEx>
          <w:tblCellMar>
            <w:top w:w="0" w:type="dxa"/>
            <w:left w:w="0" w:type="dxa"/>
            <w:bottom w:w="0" w:type="dxa"/>
            <w:right w:w="0" w:type="dxa"/>
          </w:tblCellMar>
        </w:tblPrEx>
        <w:trPr>
          <w:trHeight w:val="155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几何图形片</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包括正方形1片、长方形1片、直角三角形1片、等边三角形1片、平行四边形1片、梯形1片、圆形1片，用塑料注塑而成，尺寸不小于：正方形35mm×35mm*1.5mm；长方形60mm×30mm×1.5mm；直角三角形28.5mm×14.5mm×1.2mm；等边三角形30mm，厚1.5mm；平行四边形底边长45mm，厚度1.5mm；梯形上底：30mm，下底60mm，厚度1.5mm；圆形Φ35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180</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集合圈</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折叠式，塑料制品，8条孤形拼接条组成。4根拼接条能拼成一个圆，规格不小于Φ220mm，厚度2mm。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180</w:t>
            </w:r>
          </w:p>
        </w:tc>
      </w:tr>
      <w:tr>
        <w:tblPrEx>
          <w:tblCellMar>
            <w:top w:w="0" w:type="dxa"/>
            <w:left w:w="0" w:type="dxa"/>
            <w:bottom w:w="0" w:type="dxa"/>
            <w:right w:w="0" w:type="dxa"/>
          </w:tblCellMar>
        </w:tblPrEx>
        <w:trPr>
          <w:trHeight w:val="36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七巧板</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七种颜色，所拼成的正方形尺寸不小于80mm×80mm，厚度不小于1mm。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360</w:t>
            </w:r>
          </w:p>
        </w:tc>
      </w:tr>
      <w:tr>
        <w:tblPrEx>
          <w:tblCellMar>
            <w:top w:w="0" w:type="dxa"/>
            <w:left w:w="0" w:type="dxa"/>
            <w:bottom w:w="0" w:type="dxa"/>
            <w:right w:w="0" w:type="dxa"/>
          </w:tblCellMar>
        </w:tblPrEx>
        <w:trPr>
          <w:trHeight w:val="1558"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角操作材料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highlight w:val="none"/>
                <w:u w:val="none"/>
                <w:lang w:val="en-US" w:eastAsia="zh-CN" w:bidi="ar"/>
              </w:rPr>
              <w:t>角操作材料主要由两条可伸缩的边和固定螺丝组成。产品可自由改变角的大小，两边长度的伸缩变化范围约70mm，宽约10mm。</w:t>
            </w:r>
            <w:r>
              <w:rPr>
                <w:rFonts w:hint="eastAsia" w:ascii="宋体" w:hAnsi="宋体" w:eastAsia="宋体" w:cs="宋体"/>
                <w:b w:val="0"/>
                <w:bCs/>
                <w:color w:val="auto"/>
                <w:sz w:val="21"/>
                <w:szCs w:val="21"/>
                <w:highlight w:val="none"/>
              </w:rPr>
              <w:t>★</w:t>
            </w:r>
            <w:r>
              <w:rPr>
                <w:rFonts w:hint="eastAsia" w:ascii="宋体" w:hAnsi="宋体" w:eastAsia="宋体" w:cs="宋体"/>
                <w:b w:val="0"/>
                <w:bCs/>
                <w:i w:val="0"/>
                <w:color w:val="auto"/>
                <w:kern w:val="0"/>
                <w:sz w:val="21"/>
                <w:szCs w:val="21"/>
                <w:highlight w:val="none"/>
                <w:u w:val="none"/>
                <w:lang w:val="en-US" w:eastAsia="zh-CN" w:bidi="ar"/>
              </w:rPr>
              <w:t>（提供2019年以来省级以上机构出具的检验报告复印件加盖公章，检验报告封面需带二维码认证鉴别真伪并与投标产品名称一致）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360</w:t>
            </w:r>
          </w:p>
        </w:tc>
      </w:tr>
      <w:tr>
        <w:tblPrEx>
          <w:tblCellMar>
            <w:top w:w="0" w:type="dxa"/>
            <w:left w:w="0" w:type="dxa"/>
            <w:bottom w:w="0" w:type="dxa"/>
            <w:right w:w="0" w:type="dxa"/>
          </w:tblCellMar>
        </w:tblPrEx>
        <w:trPr>
          <w:trHeight w:val="43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图形变换操作材料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kern w:val="0"/>
                <w:sz w:val="21"/>
                <w:szCs w:val="21"/>
                <w:highlight w:val="none"/>
                <w:u w:val="none"/>
                <w:lang w:val="en-US" w:eastAsia="zh-CN" w:bidi="ar"/>
              </w:rPr>
            </w:pPr>
            <w:r>
              <w:rPr>
                <w:rFonts w:hint="eastAsia" w:ascii="宋体" w:hAnsi="宋体" w:eastAsia="宋体" w:cs="宋体"/>
                <w:b w:val="0"/>
                <w:bCs/>
                <w:i w:val="0"/>
                <w:color w:val="auto"/>
                <w:kern w:val="0"/>
                <w:sz w:val="21"/>
                <w:szCs w:val="21"/>
                <w:highlight w:val="none"/>
                <w:u w:val="none"/>
                <w:lang w:val="en-US" w:eastAsia="zh-CN" w:bidi="ar"/>
              </w:rPr>
              <w:t>产品由多种几何片及方格纸组成。几何片包含 2 个平行四边形（边长 30 mm，高 20 mm），2 个正方形（边长 30 mm），2 个三角形（底 30 mm，高 20 mm）和 2 个圆（直径 30 mm），彩色透明塑料制；可在方格纸上进行平移、旋转、对称等内容。</w:t>
            </w:r>
            <w:r>
              <w:rPr>
                <w:rFonts w:hint="eastAsia" w:ascii="宋体" w:hAnsi="宋体" w:eastAsia="宋体" w:cs="宋体"/>
                <w:b w:val="0"/>
                <w:bCs/>
                <w:color w:val="auto"/>
                <w:sz w:val="21"/>
                <w:szCs w:val="21"/>
                <w:highlight w:val="none"/>
              </w:rPr>
              <w:t>★</w:t>
            </w:r>
            <w:r>
              <w:rPr>
                <w:rFonts w:hint="eastAsia" w:ascii="宋体" w:hAnsi="宋体" w:eastAsia="宋体" w:cs="宋体"/>
                <w:b w:val="0"/>
                <w:bCs/>
                <w:i w:val="0"/>
                <w:color w:val="auto"/>
                <w:kern w:val="0"/>
                <w:sz w:val="21"/>
                <w:szCs w:val="21"/>
                <w:highlight w:val="none"/>
                <w:u w:val="none"/>
                <w:lang w:val="en-US" w:eastAsia="zh-CN" w:bidi="ar"/>
              </w:rPr>
              <w:t>（提供2019年以来省级以上机构出具的检验报告复印件加盖公章，检验报告封面需带二维码认证鉴别真伪并与投标产品名称一致）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180</w:t>
            </w:r>
          </w:p>
        </w:tc>
      </w:tr>
      <w:tr>
        <w:tblPrEx>
          <w:tblCellMar>
            <w:top w:w="0" w:type="dxa"/>
            <w:left w:w="0" w:type="dxa"/>
            <w:bottom w:w="0" w:type="dxa"/>
            <w:right w:w="0" w:type="dxa"/>
          </w:tblCellMar>
        </w:tblPrEx>
        <w:trPr>
          <w:trHeight w:val="7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面积测量器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用优质透明塑料注塑成型，尺寸不小于100*100*2mm。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360</w:t>
            </w:r>
          </w:p>
        </w:tc>
      </w:tr>
      <w:tr>
        <w:tblPrEx>
          <w:tblCellMar>
            <w:top w:w="0" w:type="dxa"/>
            <w:left w:w="0" w:type="dxa"/>
            <w:bottom w:w="0" w:type="dxa"/>
            <w:right w:w="0" w:type="dxa"/>
          </w:tblCellMar>
        </w:tblPrEx>
        <w:trPr>
          <w:trHeight w:val="167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探索几何图形面积计算公式材料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highlight w:val="none"/>
                <w:u w:val="none"/>
                <w:lang w:val="en-US" w:eastAsia="zh-CN" w:bidi="ar"/>
              </w:rPr>
              <w:t>材料为半透明塑料注塑成型，由1个边长30mm的正方形、1个边长60mm×30mm的长方形、1个底边边长60mm、高30mm的平行四边形，2个底边边长60mm、高30mm的直角三角形、2个底边边长60mm、高30mm的锐角三角形、2个底边边长60mm、高30mm的钝角三角形、2个上底20mm、下底40mm、高30mm的梯形组成。</w:t>
            </w:r>
            <w:r>
              <w:rPr>
                <w:rFonts w:hint="eastAsia" w:ascii="宋体" w:hAnsi="宋体" w:eastAsia="宋体" w:cs="宋体"/>
                <w:b w:val="0"/>
                <w:bCs/>
                <w:color w:val="auto"/>
                <w:sz w:val="21"/>
                <w:szCs w:val="21"/>
                <w:highlight w:val="none"/>
              </w:rPr>
              <w:t>★</w:t>
            </w:r>
            <w:r>
              <w:rPr>
                <w:rFonts w:hint="eastAsia" w:ascii="宋体" w:hAnsi="宋体" w:eastAsia="宋体" w:cs="宋体"/>
                <w:b w:val="0"/>
                <w:bCs/>
                <w:i w:val="0"/>
                <w:color w:val="auto"/>
                <w:kern w:val="0"/>
                <w:sz w:val="21"/>
                <w:szCs w:val="21"/>
                <w:highlight w:val="none"/>
                <w:u w:val="none"/>
                <w:lang w:val="en-US" w:eastAsia="zh-CN" w:bidi="ar"/>
              </w:rPr>
              <w:t>（提供2019年以来省级以上机构出具的检验报告复印件加盖公章，检验报告封面需带二维码认证鉴别真伪并与投标产品名称一致）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360</w:t>
            </w:r>
          </w:p>
        </w:tc>
      </w:tr>
      <w:tr>
        <w:tblPrEx>
          <w:tblCellMar>
            <w:top w:w="0" w:type="dxa"/>
            <w:left w:w="0" w:type="dxa"/>
            <w:bottom w:w="0" w:type="dxa"/>
            <w:right w:w="0" w:type="dxa"/>
          </w:tblCellMar>
        </w:tblPrEx>
        <w:trPr>
          <w:trHeight w:val="146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探索几何形体体积计算公式材料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1、产品由正方体10个，圆柱体1个，圆锥体1个，16等分扇形块（拼合后的直径30mm）优质塑料制作。2、正方体规格10*10*10mm,圆柱体规格Ф40*40mm,圆锥体Ф40*40mm。产品选用无毒、环保全新塑料注塑而成。</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360</w:t>
            </w:r>
          </w:p>
        </w:tc>
      </w:tr>
      <w:tr>
        <w:tblPrEx>
          <w:tblCellMar>
            <w:top w:w="0" w:type="dxa"/>
            <w:left w:w="0" w:type="dxa"/>
            <w:bottom w:w="0" w:type="dxa"/>
            <w:right w:w="0" w:type="dxa"/>
          </w:tblCellMar>
        </w:tblPrEx>
        <w:trPr>
          <w:trHeight w:val="14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口算练习器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产品由1块塑料盘、2片PVC圆盘、2片PVC方片及螺丝、螺帽组成。尺寸不小于：塑料盘Φ240mm，厚度2mm，中间孔Φ4mm，中间孔两端有两个40mm*30mm的长方形孔。1片PVC圆盘Φ225mm，另一片PVC圆盘Φ165mm，圆孔Φ3mm，印有0～9数字符号，带手柄；PVC方片为红色，45mm×10mm.中间小孔Φ4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64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分数片</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用彩色透明塑料注塑而成，尺寸不小于：直径60mm，壁厚2mm，产品由整圆、1/2、1/3…1/12等12个圆片组成。</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360</w:t>
            </w:r>
          </w:p>
        </w:tc>
      </w:tr>
      <w:tr>
        <w:tblPrEx>
          <w:tblCellMar>
            <w:top w:w="0" w:type="dxa"/>
            <w:left w:w="0" w:type="dxa"/>
            <w:bottom w:w="0" w:type="dxa"/>
            <w:right w:w="0" w:type="dxa"/>
          </w:tblCellMar>
        </w:tblPrEx>
        <w:trPr>
          <w:trHeight w:val="7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塑料量杯</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半透明优质塑料制品，呈圆柱形，刻度值ml，杯量值为2000ml，最小分度值为50ml，带手柄，成型良好、壁厚薄均匀、光滑，刻度线和字迹清晰、量值准确。符合JY0001－2003《教学仪器一般质量要求》的有关规定。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87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塑料量杯</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半透明优质塑料制品，呈六棱柱形，刻度值ml，杯量值为1500ml，最小分度值为50ml，带手柄，成型良好、壁厚薄均匀、光滑，刻度线和字迹清晰、量值准确。符合JY0001－2003《教学仪器一般质量要求》的有关规定。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86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塑料量杯</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半透明优质塑料制品，呈圆柱形,带手柄，刻度值ml，杯量值为1000ml，最小分度值为50ml，带手柄，成型良好、壁厚薄均匀、光滑，刻度线和字迹清晰、量值准确。符合JY0001－2003《教学仪器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小学低年级数学磁性教具</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仪器主要包含有：</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1.由背景图及各种图板组成。背景图共11张。</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2.各种图板应带有磁性，图板分为数字及运算符号图板、实物图板、计量单位图板。</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3.数字及运算符号应至少包括2套0~9数字＋、－、×、÷，括号〈〉、=号。</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4.实物图板应包括小棒红黄两色各10根，10根小棒、100小棒、圆形红黄两色各10块。</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5.计量单位符号应包括米、分米、厘米、克、千克、时、分、秒、元、角各2个。</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6.各形几何图形及符号色彩鲜艳，附着牢靠，不易脱落。</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7.磁件吸附钢制黑板必须牢靠，不滑落。</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8.手提式塑料箱包装，采用优质ABS材料制作,尺寸490mm*390mm*80mm，各配件应装入相应的定位盒框中。</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773"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小学中年级数学磁性教具</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仪器主要包含有：</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1.由背景图及各种图板组成。背景图共7张。</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2.各种图板应带有铁性，图板分为数字及运算符号图板、实物图板、计量单位图板。</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3.数字及运算符号应至少包括3套0~9数字＋、－、×、÷，括号〈〉、（）、[]、≈、=号及小数点符号。</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4.实物图板应包括小棒红黄两色各10种、小数点、圆形卡片红黄两色各10块、方形卡片、苹果、飞机、大客车、小轿车、货车、摩托车、自行车、男孩、女孩、黑兔白兔各6个、角度演示器、直尺、分数图板、几何图板12种等。</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5.计量单位符号应包括米、分米、厘米、毫米、吨、千克、克、万、亿、X各2个。</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6.各形几何图形及符号色彩鲜艳，附着牢靠，不易脱落。</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7.磁件吸附钢制黑板必须牢靠，不滑落。</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8.手提式塑料盒包装，采用优质ABS材料制作,尺寸490mm*390mm*80mm，各配件应装入相应的定位盒框中。</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3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小学高年级数学磁性教具</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仪器主要包含有：</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1.由背景图入各种图板组成。背景图共8张。</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2.各种图板应带有磁性，图板分为数字及运算符号图板、实物图板、符号图板。</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3..数字及运算符号应至少包括2套0~9数字＋、－、×、÷，括号〈〉、≈、=号及小数点符号、省略号、冒号。</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4..实物图板应包括小棒红黄两色各10种、小数点、圆形卡片红黄两色各10块、方形卡片、苹果、飞机、大客车、小轿车、货车、摩托车、自行车、男孩、女孩、黑兔白兔各6个、角度演示器、直尺、几何图板20种等。</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5.符号图板应包括a、b、c、d、S、V、h、r、x、%、π各2个。</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6.各形几何图形符号色彩鲜艳，附着牢靠，不易脱。</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7.磁件吸附钢制黑板必须牢靠，不滑落。</w:t>
            </w:r>
          </w:p>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8.手提式塑料箱包装，采用优质ABS材料制作,尺寸490mm*390mm*80mm，各配件应装入相应的定位盒框中。</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40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钟表模型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数学教学中对“时、分”的认识、读法及加减演示用。表盘和盘底采用工程塑料一次性注塑而成，为二针非联动，表盘直径为：250mm，表盘安有时针和分针，表盘采用丝网印刷印有1到12小时制标记，并印有整点标记和分钟标记。产品符合JY0061-1991《钟面模型》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钟表模型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数学教学中对“时、分”的认识、读法及加减演示用。表盘和盘底采用工程塑料一次性注塑而成，为三针联动，表盘直径为：250mm，表盘安有时针和分针及秒针，表盘采用丝网印刷印有1到12小时制标记，并印有整点标记和分钟标记，表盘背面装有联动装置，带有手拨轮。产品符合JY0061-1991《钟面模型》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61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钟表模型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数学教学中对“时、分”的认识、读法及加减演示用。表盘和盘底采用工程塑料一次性注塑而成，为三针联动，表盘直径为：250mm，表盘安有时针和分针及秒针，表盘采用丝网印刷印有1到12小时制标记，下方印有13到24小时制标记，并印有整点标记和分钟标记，表盘背面装有联动装置，带有手拨轮。产品符合JY0061-1991《钟面模型》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51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钟表模型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数学教学中对“时、分”的认识、读法及加减学生用。表盘和盘底采用工程塑料一次性注塑而成，为二针非联动，表盘直径为：50mm，表盘安有时针和分针，表盘采用不干胶印刷印有1到12小时制标记，并印有整点标记和分钟标记。产品符合JY0061-1991《钟面模型》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180</w:t>
            </w:r>
          </w:p>
        </w:tc>
      </w:tr>
      <w:tr>
        <w:tblPrEx>
          <w:tblCellMar>
            <w:top w:w="0" w:type="dxa"/>
            <w:left w:w="0" w:type="dxa"/>
            <w:bottom w:w="0" w:type="dxa"/>
            <w:right w:w="0" w:type="dxa"/>
          </w:tblCellMar>
        </w:tblPrEx>
        <w:trPr>
          <w:trHeight w:val="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钟表模型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数学教学中对“时、分、秒”的认识、读法及加减学生用。表盘和盘底采用工程塑料一次性注塑而成，为三针联动，表盘直径为：50mm，表盘安有时针和分针及秒针，表盘采用不干胶印刷印有1到24小时制标记，并印有整点标记和分钟标记，表盘背面装有联动装置，带有手拨轮。产品符合JY0061-1991《钟面模型》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180</w:t>
            </w:r>
          </w:p>
        </w:tc>
      </w:tr>
      <w:tr>
        <w:tblPrEx>
          <w:tblCellMar>
            <w:top w:w="0" w:type="dxa"/>
            <w:left w:w="0" w:type="dxa"/>
            <w:bottom w:w="0" w:type="dxa"/>
            <w:right w:w="0" w:type="dxa"/>
          </w:tblCellMar>
        </w:tblPrEx>
        <w:trPr>
          <w:trHeight w:val="205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几何形体模型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由长方体(一般和特殊)、正方体、实心圆柱、空心圆柱、圆锥体(等底等高、等底不等高、等高不等底)、球等组成。尺寸不小于：长方体规格：80mm×40mm×20mm；特殊长方体规格：40mm×40mm×25mm；正方体规格：40mm×40mm×40mm；实心圆柱规格：Φ40mm×40mm；空心圆柱外径：60mm，高40mm；三种圆锥体规格：Φ40mm×30mm、Φ30mm×40mm、Φ40mm×40mm；球体规格：Φ20mm。包装盒选用优质环保，无毒、透明塑料注塑成型。应符合JY0308-1991《小学几何形体模型》的要求。</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90</w:t>
            </w:r>
          </w:p>
        </w:tc>
      </w:tr>
      <w:tr>
        <w:tblPrEx>
          <w:tblCellMar>
            <w:top w:w="0" w:type="dxa"/>
            <w:left w:w="0" w:type="dxa"/>
            <w:bottom w:w="0" w:type="dxa"/>
            <w:right w:w="0" w:type="dxa"/>
          </w:tblCellMar>
        </w:tblPrEx>
        <w:trPr>
          <w:trHeight w:val="67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厘米立方块</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每块为单色，颜色种类不少于2种，10mm×10mm×10mm，30个。包装盒选用优质环保，无毒、透明塑料注塑成型。</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100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几何形体表面积展开模型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产品由塑料件由ABS注塑成形，纸板印刷组成，塑料件包括:长方体、正方体、圆柱体。纸板印刷相同于塑料件规格的展开图，印刷清晰。     </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55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圆面积、圆周率计算公式推导演示模型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highlight w:val="none"/>
                <w:u w:val="none"/>
                <w:lang w:val="en-US" w:eastAsia="zh-CN" w:bidi="ar"/>
              </w:rPr>
              <w:t>全塑料制、座式。产品由演示板、32等分的扇形块及圆轮2个组成。1、演示板上应有直径200mm的凹槽和宽103mm的长方槽，在长方槽下方应有演示圆周率的齿条和相应的刻线，刻线应清晰、准确。演示板外形尺寸不小于480mm×229mm×8mm。2、扇形块为32等分，拼接后的圆直径为200mm，厚度不小于7mm，扇形块分为两个半圆，两半圆之间用带连接。3、圆轮直径分别为100mm和80mm，厚度分别为4mm和3mm，外圈带齿，并与演示板齿条配套，圆轮上均印刷指示标志（箭头线）。</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50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物品卡片</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购物游戏用，硬纸片，规格80mm×60mm×0.1mm，物品有学习用品、生活用品、食品、玩具、废品五类。产品实物图片36种，每张卡片的内容不得重复，卡片上均采用彩色喷绘实物图案、名称(中文、拼音）、价格，实物图案不小于20mm，中文字体高度不小于10mm，拼音及价格高度不小于5mm。图案清晰富有立体感，无模糊感，无叠影。</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121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小学数学数与代数部分教学挂图</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适用于按照《义务教育课程标准实验教科书数学》编写的并经国家教材审定通过的各种版本的小学数学教材。2.幅面对开；大于128克铜版纸。幅数大于25幅。3.图形逼真，色彩鲜明，线条清晰，附使用说明书一本。4.正规单位出版。</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30</w:t>
            </w:r>
          </w:p>
        </w:tc>
      </w:tr>
      <w:tr>
        <w:tblPrEx>
          <w:tblCellMar>
            <w:top w:w="0" w:type="dxa"/>
            <w:left w:w="0" w:type="dxa"/>
            <w:bottom w:w="0" w:type="dxa"/>
            <w:right w:w="0" w:type="dxa"/>
          </w:tblCellMar>
        </w:tblPrEx>
        <w:trPr>
          <w:trHeight w:val="118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小学数学空间与图形部分教学挂图</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22幅/套，对开，铜版纸，彩色印刷，挂图类产品必须为正规出版物</w:t>
            </w:r>
            <w:r>
              <w:rPr>
                <w:rFonts w:hint="eastAsia" w:ascii="宋体" w:hAnsi="宋体" w:eastAsia="宋体" w:cs="宋体"/>
                <w:b w:val="0"/>
                <w:bCs/>
                <w:i w:val="0"/>
                <w:color w:val="auto"/>
                <w:sz w:val="21"/>
                <w:szCs w:val="21"/>
                <w:u w:val="none"/>
                <w:lang w:eastAsia="zh-CN"/>
              </w:rPr>
              <w:t>。</w:t>
            </w:r>
            <w:r>
              <w:rPr>
                <w:rFonts w:hint="eastAsia" w:ascii="宋体" w:hAnsi="宋体" w:eastAsia="宋体" w:cs="宋体"/>
                <w:b w:val="0"/>
                <w:bCs/>
                <w:i w:val="0"/>
                <w:color w:val="auto"/>
                <w:sz w:val="21"/>
                <w:szCs w:val="21"/>
                <w:u w:val="none"/>
              </w:rPr>
              <w:t>★需提供生产厂家正规出版物经营许可证，正规出版社发行委托书及挂图正规出版证明；提供省级或省级以上相关检测部门出具的产品检测报告；以上资质证件提供复印件加盖厂家公章。代理商需提供生产厂家针对此项目的售后服务承诺书原件。（附防伪查询电话）</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30</w:t>
            </w:r>
          </w:p>
        </w:tc>
      </w:tr>
      <w:tr>
        <w:tblPrEx>
          <w:tblCellMar>
            <w:top w:w="0" w:type="dxa"/>
            <w:left w:w="0" w:type="dxa"/>
            <w:bottom w:w="0" w:type="dxa"/>
            <w:right w:w="0" w:type="dxa"/>
          </w:tblCellMar>
        </w:tblPrEx>
        <w:trPr>
          <w:trHeight w:val="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小学数学统计与概率教学挂图</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11幅/套，对开，铜版纸，彩色印刷，挂图类产品必须为正规出版物，★需提供生产厂家正规出版物经营许可证，正规出版社发行委托书及挂图正规出版证明；提供省级或省级以上相关检测部门出具的产品检测报告；以上资质证件提供复印件加盖厂家公章。代理商需提供生产厂家针对此项目的售后服务承诺书原件。（附防伪查询电话）</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30</w:t>
            </w:r>
          </w:p>
        </w:tc>
      </w:tr>
      <w:tr>
        <w:tblPrEx>
          <w:tblCellMar>
            <w:top w:w="0" w:type="dxa"/>
            <w:left w:w="0" w:type="dxa"/>
            <w:bottom w:w="0" w:type="dxa"/>
            <w:right w:w="0" w:type="dxa"/>
          </w:tblCellMar>
        </w:tblPrEx>
        <w:trPr>
          <w:trHeight w:val="148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圆柱形塑料杯</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1．外观结构合理，工艺性好</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2．以塑料为主体材料的产品或部件，应有足够的强度，不易变形</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 xml:space="preserve">3．本产品为带刻度的透明容器，设计有把手，水咀，外形为圆柱体 </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4．最小分度值10mL性能容量200mL±5mL。</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96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方形塑料杯</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1．结构合理，工艺性好2．以塑料为主体材料的产品或部件，应有足够的强度，不易变形3．本产品为带刻度的透明容器，设计有把手，水咀，外形为方形 4．最小分度值10mL，性能容量250mL±5mL。</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345" w:hRule="atLeast"/>
          <w:jc w:val="center"/>
        </w:trPr>
        <w:tc>
          <w:tcPr>
            <w:tcW w:w="10230"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小学科学</w:t>
            </w:r>
          </w:p>
        </w:tc>
      </w:tr>
      <w:tr>
        <w:tblPrEx>
          <w:tblCellMar>
            <w:top w:w="0" w:type="dxa"/>
            <w:left w:w="0" w:type="dxa"/>
            <w:bottom w:w="0" w:type="dxa"/>
            <w:right w:w="0" w:type="dxa"/>
          </w:tblCellMar>
        </w:tblPrEx>
        <w:trPr>
          <w:trHeight w:val="3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序号</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1"/>
                <w:szCs w:val="21"/>
                <w:u w:val="none"/>
                <w:lang w:val="en-US" w:eastAsia="zh-CN" w:bidi="ar"/>
              </w:rPr>
            </w:pPr>
            <w:r>
              <w:rPr>
                <w:rFonts w:hint="eastAsia" w:ascii="宋体" w:hAnsi="宋体" w:eastAsia="宋体" w:cs="宋体"/>
                <w:b w:val="0"/>
                <w:bCs/>
                <w:i w:val="0"/>
                <w:color w:val="auto"/>
                <w:kern w:val="0"/>
                <w:sz w:val="21"/>
                <w:szCs w:val="21"/>
                <w:u w:val="none"/>
                <w:lang w:val="en-US" w:eastAsia="zh-CN" w:bidi="ar"/>
              </w:rPr>
              <w:t>货物</w:t>
            </w:r>
          </w:p>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名称</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参数要求</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单位</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数量</w:t>
            </w:r>
          </w:p>
        </w:tc>
      </w:tr>
      <w:tr>
        <w:tblPrEx>
          <w:tblCellMar>
            <w:top w:w="0" w:type="dxa"/>
            <w:left w:w="0" w:type="dxa"/>
            <w:bottom w:w="0" w:type="dxa"/>
            <w:right w:w="0" w:type="dxa"/>
          </w:tblCellMar>
        </w:tblPrEx>
        <w:trPr>
          <w:trHeight w:val="30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计算器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10位数、单行LCD显示、有分数计算功能、有平均数运算功能、有独立储存器功能（具备保留运算过程功能，关机后能清除原运算过程及数据）、有临时储存器功能、有普通四则运算功能、有自动关机功能、应保留普通计算器的其他功能。执行国家《GB-T 4967-1995》（电子计算器通用标准）及教育部JY/T 0382－2007《学生计算器》标准，与国家教育部颁布的《课程标准》要求相符合，通过教育部教学仪器研究所检测合格。</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120</w:t>
            </w:r>
          </w:p>
        </w:tc>
      </w:tr>
      <w:tr>
        <w:tblPrEx>
          <w:tblCellMar>
            <w:top w:w="0" w:type="dxa"/>
            <w:left w:w="0" w:type="dxa"/>
            <w:bottom w:w="0" w:type="dxa"/>
            <w:right w:w="0" w:type="dxa"/>
          </w:tblCellMar>
        </w:tblPrEx>
        <w:trPr>
          <w:trHeight w:val="13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打孔器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产品由四支不同孔径带手柄的空芯钻头、顶屑杆（通条）组成。空芯管：a）每支空芯管长度为100mmb）管外径分别为6mm,8mm,10mm公差±0.1mm。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钻头：用无缝钢管制成；直线度0.05mm；刀口表面镀铬；刀刃无缺口或锯齿状；刀刃平面与手柄平行，并与钻头轴线垂直；刀刃平面与轴线的垂直度0.16mm；顶屑杆：直径3.5mm长105mm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3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打气筒</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自行车用</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45</w:t>
            </w:r>
          </w:p>
        </w:tc>
      </w:tr>
      <w:tr>
        <w:tblPrEx>
          <w:tblCellMar>
            <w:top w:w="0" w:type="dxa"/>
            <w:left w:w="0" w:type="dxa"/>
            <w:bottom w:w="0" w:type="dxa"/>
            <w:right w:w="0" w:type="dxa"/>
          </w:tblCellMar>
        </w:tblPrEx>
        <w:trPr>
          <w:trHeight w:val="207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生物显微镜</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1.机型以金属为主，总放大倍数50X-500X</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2.目镜筒（金属材质）：单目斜筒式，可作360度旋转</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3.目镜：惠更斯12.5X；消色差物镜：4X、10X、40X；</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4.转换器：三孔转换器；调焦机构：粗微调不同轴，粗调：18mm,微调：1.8mm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 xml:space="preserve">5.载物台：固定单层方平台，面积：118mm×108mm，带单透镜聚光镜（NA.0.65），拨盘光栏；移动尺调节范围：横向0～55mm,纵向0～30mm；照明：电照明装置（220V，20W），带集光镜。 </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6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学生显微镜</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总放大倍数：200X；2、整机结构件：绝大部分都是由铝和合金制作；3、目镜：H10X并锁定于目镜筒，可防止学生把目镜拔出使物镜遭到损坏，并防止灰尘进入；4、物镜：DIN标准消色差物镜20X；5、镜筒：单目直筒，内置防止滑落的离合器装置，可延长因机械损耗的整机使用寿命；6、粗微调:镜架上配有分开调焦的粗微高旋钮，可调节松紧，并有内置滑动离合器；7、调焦范围：初调范围21mm；8、照明：固定在机架上的有双边精细螺丝旋紧42mm平凹反光镜，可防止拔出或长期使用后机械磨损脱落；9、载物台：不小于88mmX84mm；10、木箱定位包装。</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75</w:t>
            </w:r>
          </w:p>
        </w:tc>
      </w:tr>
      <w:tr>
        <w:tblPrEx>
          <w:tblCellMar>
            <w:top w:w="0" w:type="dxa"/>
            <w:left w:w="0" w:type="dxa"/>
            <w:bottom w:w="0" w:type="dxa"/>
            <w:right w:w="0" w:type="dxa"/>
          </w:tblCellMar>
        </w:tblPrEx>
        <w:trPr>
          <w:trHeight w:val="103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放大镜</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1、由凸透镜、透镜框及手柄组成；2、凸透镜直径不小于φ30mm,柄长52mm 放大倍率：5×；3、透镜应无明显条纹。气泡度q为φ1.0 [0.5]；4、透镜框应能牢靠地夹持透镜；5、符合JY0001－2003《教学仪器设备产品一般质量要求》的有关规定。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36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放大镜</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1、由凸透镜、透镜框及手柄组成；2、凸透镜直径不小于φ40mm,柄长52mm， 放大倍率：3×；3、透镜应无明显条纹。气泡度q为φ1.0 [0.5]；4、透镜框应能牢靠地夹持透镜；5、符合JY0001－2003《教学仪器设备产品一般质量要求》的有关规定。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酒精喷灯</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座式</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1.用黄铜制成。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2.密闭无渗漏。</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3.仪器由灯壶、灯管、空气调节器、预热盘、加料口等部分组成。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4.空气调节器可使调节片可靠稳定于调节范围内的任意位置，能自如地调节空气进量而调节火焰大小。</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5.壸体装酒精容积250mL。喷管与各管焊接牢固，喷火燃烧而熔化焊接，无漏气。火苗调节杆柄在调节火苗时不变形。调节手轮不得因工作时焦熔。</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6.仪器的性能、安全、结构及外观的一般要求分别符合JY0001标准的第4、5、6、7章的有关要求。</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7.标志、说明书、包装、运输、贮存等符合JY0001-2003的有关规定。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3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听诊器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1、本产品为普通医用听诊器；2、听诊器传音应清晰；3、耳环弹片应用弹簧钢制成；4、耳环的弹力应适宜，弹性良好；5、听诊器导管材料必须用乳胶导管，抗拉强度＞17MPG，伸长率＞700％；                                                                                            6、应符合国标GB11237-89《听诊器》有关规定；7、符合JY0001－2003《教学仪器设备产品一般质量要求》的有关规定。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45</w:t>
            </w:r>
          </w:p>
        </w:tc>
      </w:tr>
      <w:tr>
        <w:tblPrEx>
          <w:tblCellMar>
            <w:top w:w="0" w:type="dxa"/>
            <w:left w:w="0" w:type="dxa"/>
            <w:bottom w:w="0" w:type="dxa"/>
            <w:right w:w="0" w:type="dxa"/>
          </w:tblCellMar>
        </w:tblPrEx>
        <w:trPr>
          <w:trHeight w:val="13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手持移动灯</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1.手持式，可充电，2种照射形式。</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2.移动灯长度为155mm，前灯筒外径为50mm。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3.开关向前推为开启前灯，由4盏强光灯泡组成；开关向后推为开启筒身灯；拨至中间为关闭状态。</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4.充电插头为滑动式隐藏，可在家用插座上直接充电。</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75</w:t>
            </w:r>
          </w:p>
        </w:tc>
      </w:tr>
      <w:tr>
        <w:tblPrEx>
          <w:tblCellMar>
            <w:top w:w="0" w:type="dxa"/>
            <w:left w:w="0" w:type="dxa"/>
            <w:bottom w:w="0" w:type="dxa"/>
            <w:right w:w="0" w:type="dxa"/>
          </w:tblCellMar>
        </w:tblPrEx>
        <w:trPr>
          <w:trHeight w:val="2676"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highlight w:val="none"/>
                <w:u w:val="none"/>
                <w:lang w:val="en-US" w:eastAsia="zh-CN"/>
              </w:rPr>
            </w:pPr>
            <w:r>
              <w:rPr>
                <w:rFonts w:hint="eastAsia" w:ascii="宋体" w:hAnsi="宋体" w:eastAsia="宋体" w:cs="宋体"/>
                <w:b w:val="0"/>
                <w:bCs/>
                <w:i w:val="0"/>
                <w:color w:val="auto"/>
                <w:sz w:val="21"/>
                <w:szCs w:val="21"/>
                <w:highlight w:val="none"/>
                <w:u w:val="none"/>
                <w:lang w:val="en-US" w:eastAsia="zh-CN"/>
              </w:rPr>
              <w:t>11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方座支架</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1． 由矩形底座、立杆、烧瓶夹、大小铁环、垂直夹（2只）、平行夹等组成； 2． 方座支架的底座尺寸为210mm×135mm，立杆直径为Φ12mm，立杆长度600mm, 底座和立杆表面应作防锈处理；质量大于1.5kg；3.大铁环内径φ90mm，柄长105mm；小铁环内径φ50mm，柄长125mm，圆环120°,有一开口，宽约20mm；烧瓶夹闭合间隙＜0.1mm，最大开口≥35mm，杆径φ10mm；4.放置平稳、支承夹持可靠，立杆与底座间的垂直度不大于3mm，铁环组装后与立杆垂直，垂直度不大于4mm。★</w:t>
            </w:r>
            <w:r>
              <w:rPr>
                <w:rFonts w:hint="eastAsia" w:ascii="宋体" w:hAnsi="宋体" w:eastAsia="宋体" w:cs="宋体"/>
                <w:b w:val="0"/>
                <w:bCs/>
                <w:i w:val="0"/>
                <w:color w:val="auto"/>
                <w:kern w:val="0"/>
                <w:sz w:val="21"/>
                <w:szCs w:val="21"/>
                <w:highlight w:val="none"/>
                <w:u w:val="none"/>
                <w:lang w:val="en-US" w:eastAsia="zh-CN" w:bidi="ar"/>
              </w:rPr>
              <w:t>（提供检验机构出具的检验报告复印件加盖公章，检验报告封面需带二维码认证鉴别真伪并与投标产品名称一致）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1347"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三脚架</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产品由铁环和三只脚焊接而成。铁环内径：φ79mm，外径：φ96mm，厚度：5mm；脚采用φ6mm圆钢制作，脚高135mm。产品的三只脚脚距相等，立放平台上时圆环与台面平行。★</w:t>
            </w:r>
            <w:r>
              <w:rPr>
                <w:rFonts w:hint="eastAsia" w:ascii="宋体" w:hAnsi="宋体" w:eastAsia="宋体" w:cs="宋体"/>
                <w:b w:val="0"/>
                <w:bCs/>
                <w:i w:val="0"/>
                <w:color w:val="auto"/>
                <w:kern w:val="0"/>
                <w:sz w:val="21"/>
                <w:szCs w:val="21"/>
                <w:highlight w:val="none"/>
                <w:u w:val="none"/>
                <w:lang w:val="en-US" w:eastAsia="zh-CN" w:bidi="ar"/>
              </w:rPr>
              <w:t>（提供检验机构出具的检验报告复印件加盖公章，检验报告封面需带二维码认证鉴别真伪并与投标产品名称一致）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32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试管架</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产品为6孔型式，ABS塑料，呈橘黄色。底部长175mm、宽75mm，试管架总高90mm。试管架有φ30±1 mm固定孔1个，φ22±1 mm固定孔1个，有φ18±1 mm固定孔2个，有φ15±1 mm固定孔2个，有φ10±1 mm固定孔3个。试管柱6个，底端直径φ10±1mm，长65±2mm。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241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旋转架</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1.产品由旋转架、心轴、立柱、底座组成。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2.整体尺寸：80mm×50 mm×75 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3.旋转架、立柱、底座均采用注塑成型</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4.立柱呈空心状，基本尺寸φ12mm×42.5mm，其中一端为直径6mm×高5mm台肩圆柱，空心圆柱的底部与上口均设有φ1.6mm孔，用以安装心轴。</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5.旋转架基本尺寸34.8mm×19.9mm×15.9mm，中心设有半圆槽，槽体半径为15mm，槽深7.5mm，槽底部呈长方形，底部中心设有直径1.50mm钢丝轴。底座基本尺寸为79mm×49mm×10mm。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116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百叶箱支架</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1.由支架座、、支架条（长35.5cm，2根）、支架条（长49cm，2根）及直角支架条（长100cm，4根）组成。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2.支架与支撑杆之间用螺丝固定（可拆卸）。</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3.标志、说明书、包装、运输、贮存符合JY0001-2003的有关规定。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7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百叶箱</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1.箱体内尺寸约510mm×255mm×380mm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2.选用松木并经干燥脱脂处理，百叶箱叶面向下，每面有17片叶面。</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3.箱内外涂白色漆，箱体榫接成形，牢固，无变形。</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4.百叶箱顶盖为横竖两层木板镶合而成，规格：488×405×18mm，以保护箱内仪器免受损害。</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5.标志、说明书、包装、运输、贮存符合JY0001-2003的有关规定。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3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学生电源</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1.直流输出，标准电压：1.5V、3V、4.5V、6V共4档可调2.输出电流：为1A。3.载电压：各档误并U标±1.0V4.规格：195mm×175mm×70mm，并附提手。5.结构、外观符合JY 0001第6、7章的有关规定。6.其余符合JY 0374-2004的有关规定。7.标志、说明书、包装、运输、贮存符合JY0001-2003的有关规定。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83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教学电源</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输出电压：交流输出，2－12V，每2V一挡；共六档；额定输出电流：5A；直流稳压输出，1.5V－12V，分1.5V、3V、4.5V、6V、9V、12V六档；额定输出电流：2A；直流大电流短时输出：40A，8秒自动关断。2.交流输出：a.各档空载电压应不大于1.1 U标＋0.3V；b.各档满载电压应不小于0.9 U标－0.3V。3.直流稳压输出：a.电压偏调：±（2％U标＋0.1V）；b.电压稳定性：输入电压在198V－242V件变化，在满载时各档输出电压变化量不大于2％U标＋0.1V；c.负载稳定性：输入电压保持220V不变，负载电流在0至满载范围内变化，各档输出电压变化量不大于2％U标＋0.1V；d.纹波电压：电源电压保持220V，满载时各档纹波电压不大于0.1％U标（有效值。4.直流大电流短时输出电流大于10A时，20s±2s自动关断。输出短时电流为40A+10A，8 s±2自动关断。5.过载保护：a.电源的交流输出和直流输出电流等于或小于其额定输出电流时，电源应正常工作，当输出电流在额定输出电流值的1.1－1.6倍时，电源能过载保护。b.各档输出电路短路时应能自动关断。 6.连续工作时间不少于8h。7.其他应符合JY0361-1991教学电源等有关标准条款的规定。8.标志、说明书、包装、运输、贮存等应符合JY0001-2003的有关规定。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2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电池盒</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产品由黑色塑料盒底、正负极弹簧片、插接件组成。2、盒底由工程塑料制成，四节连体，一次注塑成型，表面光洁，色泽均匀，无棱角，无毛刺。电池盒整体尺寸：152*72*32mm；电池盒厚度不小于3mm。3、盒体内部共有五块正负极弹簧片，五块正负极弹簧片分为两种规格，分别是规格63mm*22mm的3块、规格为38mm*22mm的2块。4、电池盒内固定配置4个弹簧，弹簧高度为22cm。5、电池盒上一侧有两个黑色接线柱，一侧有三个红色的接线柱，接线柱高度均为15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360</w:t>
            </w:r>
          </w:p>
        </w:tc>
      </w:tr>
      <w:tr>
        <w:tblPrEx>
          <w:tblCellMar>
            <w:top w:w="0" w:type="dxa"/>
            <w:left w:w="0" w:type="dxa"/>
            <w:bottom w:w="0" w:type="dxa"/>
            <w:right w:w="0" w:type="dxa"/>
          </w:tblCellMar>
        </w:tblPrEx>
        <w:trPr>
          <w:trHeight w:val="207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highlight w:val="none"/>
                <w:u w:val="none"/>
                <w:lang w:val="en-US" w:eastAsia="zh-CN" w:bidi="ar"/>
              </w:rPr>
              <w:t>直尺</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用木制材料或有机玻璃制成。1、木直尺漆层均匀、整洁，表面无伤痕、无毛刺。经干燥处理，无节疤、无裂纹、无变形；2、全长500mm，尺宽≥25mm。尺面两侧均有刻度，是测量面。尺面最小刻度1mm、刻线长度较短，每10mm一小格、刻线长度中等，每100mm一大格、刻线长度较长；3、尺面刻线均匀清晰，垂直尺边、无断线；4、尺面平整挺直，平面度≤3mm，尺边直线度≤2mm；5、1m全长示值允差≤±1.5mm；6、 0.01m示值允差≤±0.5mm；7、结构及外观的一般要求应分别符合JY0001-2003《教学仪器设备产品一般质量要求》第4、5、6、7章的有关要求。</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软尺</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软塑。规格：1500mm。软尺最小分度值为1cm，分度值之间有相应的数字，刻度线均匀、清晰，无形变。可参考企业标准执行。</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17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highlight w:val="none"/>
                <w:u w:val="none"/>
                <w:lang w:val="en-US" w:eastAsia="zh-CN" w:bidi="ar"/>
              </w:rPr>
              <w:t>托盘天平</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1、最大称量500g，分度值0. 5 g；2、秤量允许误差为±0.5d(分度值)；3、砝码组合的总质量（包括标尺计量值）应不小于天平的最大秤量；4、冲压件及铸件表面应光洁平整，不应有毛刺、锋棱、裂纹和显见砂眼；5、电镀件的镀层应色泽均匀，不应有露底和显见的麻点、水迹、擦伤等缺陷；6、油漆件表面应平整光滑，色泽均匀，不应有露底、起泡、挂漆、擦伤等缺陷。产品应符合JY104-82《学生天平》。符合JY0001－2003《教学仪器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75</w:t>
            </w:r>
          </w:p>
        </w:tc>
      </w:tr>
      <w:tr>
        <w:tblPrEx>
          <w:tblCellMar>
            <w:top w:w="0" w:type="dxa"/>
            <w:left w:w="0" w:type="dxa"/>
            <w:bottom w:w="0" w:type="dxa"/>
            <w:right w:w="0" w:type="dxa"/>
          </w:tblCellMar>
        </w:tblPrEx>
        <w:trPr>
          <w:trHeight w:val="13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金属钩码</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产品为50g±0.5g×10只，定位装入塑料盒内；2、钩码尺寸不小于φ27×17.2mm，上钩高不低于10mm；底呈半球形，下钩位于底槽内，上下钩开口方向应垂直；3、材料用钢材制成，外表镀铬，镀层不得有脱落，不均等现象；4、上、下钩的连线应通过钩码主体的轴线，挂钩必须牢固；5、产品应符合JY105-82《钩码》的要求；6、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207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体重计</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由金属底座、脚踏面、刻度盘、调零旋钮等构成，含测体高装置；2、体重计回零误差不大小1/2分度；3、体重计任一点的平均示差不大小1个分度；4、脚踏面和底座用厚度不小于2mm的金属板制成，稳定、牢靠，无变形现象；5、脚踏面上的观察面用有机玻璃制成，透明度良好，应能清楚的观察到刻度盘上的任一数字和刻度；6、刻度盘标有0～120kg的字迹和相应的刻度线，刻度线及字迹应清晰、均匀、工整；7、调零旋钮运用灵活，无卡滞现象；8、体重计的使用寿命不少于10000次；9、性能、结构、外观应符合JY0001－2003《教学仪器设备产品一般质量要求》第4、6、7章的有关要求。</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15</w:t>
            </w:r>
          </w:p>
        </w:tc>
      </w:tr>
      <w:tr>
        <w:tblPrEx>
          <w:tblCellMar>
            <w:top w:w="0" w:type="dxa"/>
            <w:left w:w="0" w:type="dxa"/>
            <w:bottom w:w="0" w:type="dxa"/>
            <w:right w:w="0" w:type="dxa"/>
          </w:tblCellMar>
        </w:tblPrEx>
        <w:trPr>
          <w:trHeight w:val="207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电子停表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1.有石英谐振器，分辨率为0.01S，以标称电压为DC1.5V或DC3.0V的扣式电池为能源，液晶显示。</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2.具有计时（含累加计时）等功能、附挂绳。</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3.表玻璃透明无伤、印字清楚正确、表壳与玻璃后盖配合紧密，无明显的缝隙。</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4.使用可靠，各功能显示及相互转换正常。零部、组件不得自行脱落，字段显示清晰、无误。</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5.其它符合QB/T1908《液晶数字式石英秒表》标准等有关要求。</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5.其它符合QB/T1908《液晶数字式石英秒表》标准等有关要求。</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28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温度计</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红液；2、全长：300mm；外径：6±1mm；头：10mm；3、测量范围：0－100℃；最小分度值：1℃；允许误差±1℃；4、玻管要直，不得弯曲，不得崩损缺口，红液不得断线；5、产品应符合《玻璃仪器通用技术要求》；6、要符合技术标准的要求JJG 130《温度计》；7、符合JY0001－2003《教学仪器设备产品一般质量要求》的有关规定。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支</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360</w:t>
            </w:r>
          </w:p>
        </w:tc>
      </w:tr>
      <w:tr>
        <w:tblPrEx>
          <w:tblCellMar>
            <w:top w:w="0" w:type="dxa"/>
            <w:left w:w="0" w:type="dxa"/>
            <w:bottom w:w="0" w:type="dxa"/>
            <w:right w:w="0" w:type="dxa"/>
          </w:tblCellMar>
        </w:tblPrEx>
        <w:trPr>
          <w:trHeight w:val="57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温度计</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感温物质：水银。2.测量范围：0℃～100℃；最小分度值：1℃；允许误差±1℃。3.玻璃光洁透明，无裂痕。毛细管无明显的弯曲现象，其孔径均匀，管壁内清洁无杂质。4.感温液体（水银）纯洁、无杂质。液线无中断现象。上升时无停滞和跳跃现象；下降时未曾在管壁上留下液滴。5.产品符合《玻璃仪器通用技术要求》6.标志、说明书、包装、运输、贮存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支</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体温计</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体温计的刻度应为35℃-42℃，精确度1/10度。水银柱应能恒定到准确度数，用后应回到液泡里，液泡内不得有明显的气泡产品符合GB 1588-2001 《玻璃体温计》的有关规定。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支</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29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最高温度表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1、测量范围：-16℃~+81℃；2、最小分度值：0.5℃；3、配安装支架，安装牢固；4、符合JY0001－2003《教学仪器设备产品一般质量要求》的有关规定；5、产品应符合《玻璃仪器通用技术要求》</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支</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最低温度表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1、测量范围：-52℃~+41℃，测量误差±1℃；2、配安装支架，安装牢固；3、符合JY0001－2003《教学仪器设备产品一般质量要求》的有关规定；4、产品应符合《玻璃仪器通用技术要求》</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支</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3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寒暑表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由木质材料镶嵌玻璃棒芯组成。采用摄氏（℃）和华氏（℉）木板双刻度，面板标有：摄氏 -30℃—50℃；华氏 -20℃—120℃的标志。玻璃棒芯感温液，正面放大玻璃液读数。温度准确度：±1℃（0℃～30℃）。最小分度值：1℃</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尺寸：不小于250mm×49mm×9mm。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40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条形盒测力计</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1．本产品为压力量程5N的条形盒测力计。</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2．主刻线长为7±1mm，辅刻线长为6±1mm。刻度线及字迹清晰、均匀、工整。在0刻及量程的1/5、2/5、3/5、4/5及满刻度处应有数字标出刻度值。指针覆盖刻线部分的宽度不大于0.5mm。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3．船形外壳：塑料制，一次冲压制成。刻度面板固定良好。外壳尺寸为36mm×151mm×20mm。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4．本产品应有零位校准机构。</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5．使用寿命应不少于10000次。</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6．其他应符合JY-127-91的规定。</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7．标志、说明书、包装、运输、贮存应符合JY0001-2003的有关规定。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28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条形盒测力计</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1．本产品为压力量程2.5N的条形盒测力计。</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2．主刻线长为7±1mm，辅刻线长为6±1mm。刻度线及字迹清晰、均匀、工整。在0刻及量程的1/5、2/5、3/5、4/5及满刻度处应有数字标出刻度值。指针覆盖刻线部分的宽度不大于0.5mm。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3．船形外壳：塑料制，一次冲压制成。刻度面板固定良好。外壳尺寸为36mm×151mm×20mm。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4．本产品应有零位校准机构。</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5．使用寿命应不少于10000次。</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6．其他应符合JY-127-91的规定。</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7．标志、说明书、包装、运输、贮存应符合JY0001-2003的有关规定。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276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条形盒测力计</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1．本产品为压力量程1N的条形盒测力计。</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2．主刻线长为7±1mm，辅刻线长为6±1mm。刻度线及字迹清晰、均匀、工整。在0刻及量程的1/5、2/5、3/5、4/5及满刻度处应有数字标出刻度值。指针覆盖刻线部分的宽度不大于0.5mm。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3．船形外壳：塑料制，一次冲压制成。刻度面板固定良好。外壳尺寸为36mm×151mm×20mm。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4．本产品应有零位校准机构。</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5．使用寿命应不少于10000次。</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6．其他应符合JY-127-91的规定。</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7．标志、说明书、包装、运输、贮存应符合JY0001-2003的有关规定。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13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多用电表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1、准确度等级：直流电压、电流2.5级；交流电压、电流5.0级；电阻：2.5级；2、灵敏度：直流≥20KΩ/V，交流≥9KΩ/V；                                                                                                     3、仪器的性能、安全、结构及外观的一般要求应分别符合JY 0001-2003的有关要求；                                                                   4、要符合技术标准的要求JY 0330-1993《教学用指针式电表》。</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03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湿度计</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为指针式，整体仪盘直径不小于Φ125mm，仪表盘上印有湿度标识。湿度范围：0%RH - 100%RH，最小标识：2%RH。测量误差：30-90%RH时＜7%。工作湿度：-10℃—+50℃ 。可部分参考QX/T27《毛发湿度计》标准执行。</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03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指南针（塑料）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外壳直径≥30mm。表面材质为透明塑料；2、衬板印有东、南、西、北等方向性标志；3、小磁针为菱形小磁针，执行JY0012—90《磁针》要求。磁针转动灵活；4、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241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肺活量计</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1.产品由塑料瓶、吹气软管、吹气嘴和不锈钢套筒组成。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2.塑料瓶直径145mm，高度75mm；不锈钢套筒外径157mm,高度为414mm；吹气软管外径不小于11mm,长度440mm，带有吹气嘴。</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3.塑料瓶容量为5.5L。</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4.塑料瓶表面印有容量刻度，最小刻度0.1升，小刻度线长度5.5mm，大刻度线长度8mm，宽度为0.5mm。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5.附吹气嘴10个。</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30</w:t>
            </w:r>
          </w:p>
        </w:tc>
      </w:tr>
      <w:tr>
        <w:tblPrEx>
          <w:tblCellMar>
            <w:top w:w="0" w:type="dxa"/>
            <w:left w:w="0" w:type="dxa"/>
            <w:bottom w:w="0" w:type="dxa"/>
            <w:right w:w="0" w:type="dxa"/>
          </w:tblCellMar>
        </w:tblPrEx>
        <w:trPr>
          <w:trHeight w:val="33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39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雨量器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1.主要由底座、筒体、承水器、专用量杯（500ml）三大部分组成。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2.承水器口径为200±1mm；筒体直径200mm，长630±5mm。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3.标志、说明书、包装、运输、贮存符合JY0001-2003的有关规定。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03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风杯式风速表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有直读装置。可测量瞬时风速、平均风速、瞬时风级、平均风级、显示对应浪高。风速测量范围：0m/s～30m/s。 风速传感器启动风速：0.8m/s，风速测量精度：±（0.3+0.03×V）m/s(V 实际风速）。显示分辨率：0.1/s(风速）、1级（风级）。</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7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斜面</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由长面板1块、短面板1块、支架2套组成；2、长面板尺寸：530mm×120mm×12mm；3、短面板尺寸：200mm×120mm×12mm；4、木板表面用黑色即时贴，应平整、光滑，无气泡；5、支架为M型外形尺寸不小于50mm×70mm，支架杆Φ4mm。用长方形塑料片固定在长短面板上；6、木材采用优质环保木料，表面环保油漆涂层精制而成。 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压簧</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1.压簧由1.5mm优质钢丝绕制而成。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2.自然长度不小于65mm，绕制直径为30mm。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拉簧</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1.拉簧由1mm优质钢丝绕制而成。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2.两端拉手直径20mm，弹簧部分自然长度为70mm，绕制直径为20mm。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17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沉浮块</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主要技术参数：产品由水槽及盖（水槽和盖分别采用透明塑料注塑成型、水槽尺寸：200mm×100mm×100mm，盖与水槽配合良好）；立方体块大小不同重量相同5个（正方体的边长分别为：50mm、40mm、35mm、30mm、20mm）；半球体大小相同重量不同4个（半球直径为36mm）；圆柱筒重量45g1个（圆柱筒直径30mm、高60mm）；浮体塑料鸡蛋1个（可打开）直径17mm高度40mm；浮筒透明带盖1个（浮筒直径为35mm，高100mm）组成。       </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326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杠杆尺及支架</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1.用塑料制作，表面平整、挺直、均匀、无毛刺。</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2.产品由杠杆尺、支架、调平装置和底座组成。杠杆尺外形尺寸为170×40×6mm，中心有φ6.5mm的通孔。底座规格128mm×78mm×20mm，中心有固定装置用于固定支架。支架外形尺寸为210mm×24mm×10mm，上端为半圆。</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3.杠杆尺正面以轴心为零点向两端刻厘米单位刻度线，刻线清晰，每厘米刻度线均标有数字，两端分别标有0-7。</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4.杠杆尺两端装有镀锌调平螺母，杠杆应平衡。</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5.产品符合JY172-84《杠杆》的要求。</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6.符合JY0001－2003《教学仪器设备产品一般质量要求》的有关规定。</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7.标志、说明书、包装、运输、贮存符合JY0001-2003的有关规定。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个  </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241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滑轮组及支架</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1、由底座、立杆、横梁、定滑轮、动滑轮、手柄、固定螺钉、细绳等组成。2、底座规格 145*85*25mm，中心有三个方孔；3、立杆呈梯形状：上端宽 24mm、厚 7mm，下端 28mm、厚 10mm，长 235mm；横梁尺寸：上端宽 17mm、下端 20mm，厚 6mm， 长 200mm；4、大定滑轮尺寸：Φ60mm×6.5mm；5、小定滑轮尺寸：Φ40mm×10mm。6、动滑轮尺寸：38mm×10mm×9mm。7、手摇柄呈“Z”字型。8、组装后的滑轮组组及支架应能完成动滑轮、定滑轮及移动轮子实验。9、塑料制品表面应平整光滑、色泽均匀。</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 xml:space="preserve">10、塑料产品选用全新塑料注塑而成，无毒、环保、性能好。       </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1287"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轮轴及支架</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产品由直径不同的三个轮盘、支杆、底座及挂线组成。三个轮盘外径分别为φ94mm、φ64mm、φ34mm，三个轮盘线槽直径比为3:2:1；底座与支杆组装后总高度为235mm；挂线共三根，每根长度不小于240mm，每根挂线附有圆形挂钩，底座直径不小于100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276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齿轮组及支架</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1、产品由底座、立杆、大齿轮、中齿轮、小齿轮、手摇柄、螺钉、螺帽组成。2、底座规格 145*85*25mm，中心有三个方孔。3、立杆呈梯形状：上端宽 24mm、厚 7mm，下端 28mm、厚 10mm，长 235mm；4、大齿轮Φ102mm±0.8mm,齿龃 56 个；5、中齿轮Φ60mm±0.8mm，齿龃 28 个；6、小齿轮直径Φ32mm±0.5mm，齿龃 14 个；7、手摇柄呈"I"字型，型最大外形尺寸：Φ12×28mm。8、齿轮与齿轮啮合齿上有一明显箭头标记。9、 螺钉应能固定各个齿轮，固定后的齿轮应转动灵活。10、摇手与齿轮配合应转动</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 xml:space="preserve">灵活。11、组装后的齿轮及支架应操作方便，实验效果明显。12、塑料制品应表面平整、光滑。13、 符合 JY0001－2003《教学仪器设备产品一般质量要求》的有关规定。       </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772"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49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弹簧片</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不锈钢片，规格：100mm×10mm×0.2mm，表面光滑平整、无缺口、无污点。符合JY0001－2003《教学仪器设备产品一般质量要求》的有关规定。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380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三球仪</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产品为组合式，由太阳模型1个、地球模型1个、月球模型1个、四季盘1个、月相仪1个、回转组件1件、推柄1个组成；2、太阳模型塑料制成，直径80mm±2mm，正面表明月相的位置和地球上的昼夜；3、地球模型直径41mm±1mm,上面能观察到七大洲、四大洋、南北极圈、南北回归线、赤道和国际日期变更线；4、月球模型：白色塑料制成，直径10mm±0.5mm，与支杆配合无松动、脱落；5、四季盘：塑料制成，直径不小于200mm，正面印有春、夏、秋、冬四季、二十四个节气名称、次序和日期；6、月相盘有效尺寸不小于110mm，正面表明月相的位置和地球上的昼夜。回转组件：由六个26牙齿轮组、2个13牙齿轮组组成，26牙齿轮组直径：55mm±0.5mm，13牙齿轮组直径：30mm±0.5mm；7、推柄由塑料制成，与中心管连接组装后，启动推柄使回转组件均匀转动；8、单台产品净重大于840克。塑料产品选用ABS，及聚丙稀全新塑料注塑而成，无毒、环保、性能好；9、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72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小车</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外形尺寸108×68×40(mm)，允差±1mm；2、小车一端面中心设置挂钩，另一端设纸带夹；3、小车轮距≥40mm，轴距≥60mm，车轮直经≥20mm，车轴总质量≤40g；4、小车总质量200g±1g，底部加两块铁块，加重小车的重量；5、小车在700mm 长平面内，直线运动偏差≤5mm；6、小车能在1：35 斜面上自由下滑；7、其余应符合JY0001-2003《教学仪器产品一般质量要求》中相关规定。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180</w:t>
            </w:r>
          </w:p>
        </w:tc>
      </w:tr>
      <w:tr>
        <w:tblPrEx>
          <w:tblCellMar>
            <w:top w:w="0" w:type="dxa"/>
            <w:left w:w="0" w:type="dxa"/>
            <w:bottom w:w="0" w:type="dxa"/>
            <w:right w:w="0" w:type="dxa"/>
          </w:tblCellMar>
        </w:tblPrEx>
        <w:trPr>
          <w:trHeight w:val="161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太阳高度测量器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仪器由地盘、角度板、立杆等组成，能测量太阳在天体坐标中高度。2.仪器底座盘面上有方位盘和Φ19mm的指南针，并使重锤能对准基尖。底座直径Φ131mm，高14mm3.角度板为塑料制，带投影器，能插入盘面中心。4.立杆Φ73mm塑料制，可随着角度板转动。4.其余符合JY 0001第4、5、6、7章要求。5.标志、说明书、包装、运输、贮存符合JY0001-2003的有关规定。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28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风的形成实验材料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1.产品为组合式；产品由底座、透明圆筒、铝制风叶、蜡烛等组成；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2.塑料筒用优质透明塑料制作，外形规格尺寸为Φ48×105mm,表面透明光洁，底部有三个支脚支撑。</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3.蜡烛规格为Φ36mm。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4.风叶</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4.1风叶由支架、风叶组成。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4.2风叶用铝材制作，外形尺寸为Φ39mm,厚0.2mm。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4.3支架用金属冷冲或成型，可悬挂在塑料筒上口，固定稳定，转动灵活。</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5.组装后的实验材料摆放平稳，实验效果良好。</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15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组装风车材料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 由方纸片一张（自己动手做风车转叶片用）、塑料片(彩色，已成型四角风叶)一张、转轴、转轴帽、手持柄组成。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 转轴、转轴帽为塑料制成，手持柄为空心塑料管。</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 风车叶与转轴间转动顺畅，迎风即可转动，无风时用嘴吹风也可以转动。</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 标志、说明书、包装、运输、贮存应符合JY0001-2003的有关规定。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189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组装水轮材料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1.由手水槽、轮毂、6个叶片、漏斗及支架等组成。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2.叶片可多种角度与轮毂契合，叶片面积为为30mm×26mm，厚度不小于1mm。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3.底座尺寸不小于110mm×80mm×19mm。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4.塑料产品选用全新塑料注塑而成，无毒、环保、性能好。</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5.金属件采用优质钢材，防锈电镀处理。</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6.标志、说明书、包装、运输、贮存符合JY0001-2003的有关规定。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306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音叉</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产品由音叉、共鸣箱、音叉槌组成；2、音叉用钢或合金铝加工制造，发音部分呈“U”形，“U”形下方的叉柄能插入并紧固在共鸣箱上。当敲击音叉时，音叉不能松动。音叉表面平整光滑，叉股内侧平面与底部圆弧光滑相切。每支音叉配共鸣箱一个。钢制音叉表面镀铬，铝制音叉表面氧化处理。外形尺寸：190mm×5mm×8mm；3、共鸣箱的木材应无节疤和裂痕，宜用泡桐、东北松或高密度板制造，经干燥处理，箱体平整胶合牢跑龙套，使用时不应松动。外形尺寸：300mm×90mm×50mm；4、音叉槌用橡胶制造，槌杆用木材或塑料制造，槌头球径约26mm，杆长约180mm。频率及误差：256Hz±0.3Hz。产品应符合JY/T0395-2007《教学音叉》标准。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37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太阳能的应用材料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本材料由太阳能电池板带支架、发光二极管模块、小电机带风叶模块、蜂鸣器模块组成。1.太阳能电池板的外形尺寸：60mm*60mm，支架为塑料，电池板镶在支架上，支架上应有插接模块的香蕉插孔，支架的外形尺寸：90mm×80mm×35mm。2.三种模块为盒式，塑料制，盒体的外形尺寸：80mm×40mm×20mm，连接方式为香蕉插头。3.发光二极直径为8mm，红色。4.电机为直流电机，电压不大于3V、工作电流30mA。5.电机风叶为塑料制品，叶片数为4片，外径约58mm。6.蜂鸣器工作电压3V、电流20mA。7.材料采用塑料盒包装，外形尺寸：150mm*100mm70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3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小鼓</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塑料鼓  直径100mm,附有敲击锤两个</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177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59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组装土电话材料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1.由电话筒2只、话筒压盖2只、薄膜2块、塑料圆片2片、细线5米组成。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2.话筒规格 Φ50mm×37mm，壁厚1.5mm；薄膜2张，145mm×118mm，两层；塑料圆片直径约25mm，厚度不小于0.5mm，圆片中心及一侧共有2小孔。</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3.产品符合JY0001《教学仪器产品一般质量要求》。</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4.标志、说明书、包装、运输、贮存符合JY0001-2003的有关规定。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74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60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热传导实验材料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由底座、支架、蓄热快、导热杆呈辐射状分布。</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126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61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物体热涨冷缩实验材料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由铜球、塑料球、实验环组成。铜球、塑料球直径不小于Ф15mm。铜球、塑料球、均应带有悬挂链及手柄。实验环与铜球，塑料球直径相配套，带有手柄，表面镀铬处理。塑料盒包装，外形尺寸不小于154mm×59mm×28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114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62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灯座及灯泡</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1.由底座、电珠座，正（红）、负(黑）接线柱帽等组成；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2.该产品底板（塑料）制作，螺丝口由有色金属（铜）制作；</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3.小灯座为螺旋式灯座与小电珠配用；</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4.小灯座最高工作电压为36V，最大工作电流为2.5A。配套小电珠为3.8V和2.5V各1支。</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180</w:t>
            </w:r>
          </w:p>
        </w:tc>
      </w:tr>
      <w:tr>
        <w:tblPrEx>
          <w:tblCellMar>
            <w:top w:w="0" w:type="dxa"/>
            <w:left w:w="0" w:type="dxa"/>
            <w:bottom w:w="0" w:type="dxa"/>
            <w:right w:w="0" w:type="dxa"/>
          </w:tblCellMar>
        </w:tblPrEx>
        <w:trPr>
          <w:trHeight w:val="15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63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开关</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1．适用于教学演示实验和学生分组实验用的教学开关；</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2.开关的最高工作电压36V，额定工作电流6A；</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3.开关闸刀与接线柱及垫片为导电性好的材料制成，表面镀铬，闸刀的宽度小于7mm，闸刀厚度不小于0.7mm.接线柱直线4mm，有效行程不小于4mm；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4.开关应具有足够的强度。</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180</w:t>
            </w:r>
          </w:p>
        </w:tc>
      </w:tr>
      <w:tr>
        <w:tblPrEx>
          <w:tblCellMar>
            <w:top w:w="0" w:type="dxa"/>
            <w:left w:w="0" w:type="dxa"/>
            <w:bottom w:w="0" w:type="dxa"/>
            <w:right w:w="0" w:type="dxa"/>
          </w:tblCellMar>
        </w:tblPrEx>
        <w:trPr>
          <w:trHeight w:val="43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64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物体导电性实验材料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1.产品为组装式，由实验盒体1套、实验材料1套组成。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2.实验盒体：</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a.实验盒体用优质塑料制成，表面平整光滑，色泽均匀，无明显缩迹、毛刺，开启方便，规格尺寸为84×60×21mm。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b.实验盒体内设电池盒装置，能安装二节5号电池，接触良好。</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 xml:space="preserve">c.实验盒体盖部，有发光灯泡，插片座组成。    </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3.实验材料：</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a.实验材料由铜片、铁片、铝片、塑料片、碳棒等组成，各材料片尺寸为50×10×0.7mm。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b.发光灯泡选用DC1.5V-3V、1.5W发光二极管。</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c.插片座用铜制作，防锈处理。</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4.标志、说明书、包装、运输、贮存符合JY0001-2003的有关规定。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65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条形磁铁</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D-CG-LT-180 型， 磁铁的外形尺寸为180mm×20.5mm×10mm。表面磁感应强度70mT。有极性标注，红色为N极，兰色为S极，N、S字母颜色为白色。</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684"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66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条形磁铁</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学生用，2支，尺寸：35mm×9mm×6mm,红色表示“N”极，蓝色表示“S"极。 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60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67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蹄形磁铁</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D-CG-LU-80，蹄型。表面磁感应强度70mT。有极性标注，红色为N极，兰色为S极，N、S字母颜色为白色。</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58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68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蹄形磁铁</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学生用，1支，尺寸：40mm×34mm×7mm,红色表示“N”极，蓝色表示“S"极。 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62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69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磁针</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1、磁学仪器，供演示磁体的指向性和磁极的相互作用。</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2、有垂直翼形针体和支座两部分。一对装。</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479"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环形磁铁</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学生用。铁氧体制作，形状为圆形。外径约32mm，内径约16mm，厚约5mm。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160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电磁铁组装材料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1.电磁铁组装材料由以下配件组成：1个铁芯、2个圆柱形铁芯、2根线，1个衔铁，5大头针枚，2个骨架，1个塑料盒。</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2.塑料盒为透明，尺寸不小于103mm×58mm×27mm。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3.其余符合JY 0012第5章的有关要求。</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4.标志、说明书、包装、运输、贮存符合JY0001-2003的有关规定。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41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电磁铁</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演示用方形塑料盒，带指南针</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255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手摇发电机</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1.整体用透明塑料制作，可看到内部结构，通过手把转动，使小型发电机发电，电珠发亮。</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2.空载输出电压为6.0V，输出电流为0.2A。</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3.产品附接线一体，长度27cm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4.各部件无明显缺陷，配合良好。</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5.整机结构紧凑，效果明显。</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6.符合JY0001－2003《教学仪器设备产品一般质量要求》的有关要求。</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7.标志、说明书、包装、运输、贮存符合JY0001-2003的有关规定。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75</w:t>
            </w:r>
          </w:p>
        </w:tc>
      </w:tr>
      <w:tr>
        <w:tblPrEx>
          <w:tblCellMar>
            <w:top w:w="0" w:type="dxa"/>
            <w:left w:w="0" w:type="dxa"/>
            <w:bottom w:w="0" w:type="dxa"/>
            <w:right w:w="0" w:type="dxa"/>
          </w:tblCellMar>
        </w:tblPrEx>
        <w:trPr>
          <w:trHeight w:val="25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激光笔</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笔型，红色光。</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180</w:t>
            </w:r>
          </w:p>
        </w:tc>
      </w:tr>
      <w:tr>
        <w:tblPrEx>
          <w:tblCellMar>
            <w:top w:w="0" w:type="dxa"/>
            <w:left w:w="0" w:type="dxa"/>
            <w:bottom w:w="0" w:type="dxa"/>
            <w:right w:w="0" w:type="dxa"/>
          </w:tblCellMar>
        </w:tblPrEx>
        <w:trPr>
          <w:trHeight w:val="5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小孔成像装置</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sz w:val="21"/>
                <w:szCs w:val="21"/>
                <w:u w:val="none"/>
              </w:rPr>
              <w:t>产品由小圆孔板、小方孔板、大圆孔板、大方孔板、成像屏、底座、蜡烛等组成。大、小圆孔板及大、小方孔板的外形尺寸均为75×60mm，采用厚度0.5mm的塑料板制作。小圆孔板的孔径为φ1.5mm；大圆孔板的孔径为φ10mm；小方孔板的方孔尺寸为1.8×1.8mm；大方孔板的方孔尺寸为7×7mm。成像屏尺寸为75×60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20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平面镜及支架</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1、产品为组合式，由平面镜 1 块、安装板 1 块、支架 1 个组成。2、平面镜尺寸：99.5mm×75.5mm×2mm±0.3mm，镜面光亮无暇。3、安装板外形尺寸 104×84×4.5±0.5mm，背面有调节高低用齿条刻度及数字，调节有效尺寸 25mm，最小分度值 2.5mm。4、</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 xml:space="preserve">支架外形尺寸：84×40×65±0.5mm，卡口与平面镜安装板配合松紧适度，上下滑动平稳自如。产品符合 JY0001－2003《教学仪器设备产品一般质量要求》的有关规定。       </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510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透镜、棱镜及支架</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1、产品为组合式，由凸透镜 1 个、凹透镜 1 个、三棱镜组件 1 套、透镜安装板 2 块、三棱镜安装板 1 块、支架 2 个、卡圈 2 个组成。2、凸透镜、凹透镜外形尺寸：Φ50±1mm，成像倍数 3×，表面光滑无痕。3、透镜安装板外形尺寸：104×80×10.5±0.5mm， 顶部半圆 R40mm，中心有一阶梯圆孔，直径分别为Φ51±0.5mm、Φ43±0.5mm，板正面台阶高度 6±0.3mm，板背面有调节高低用齿条刻度及数字，刻度有效尺寸 25mm，最小分度值 2.5mm。4、三棱镜组件由三棱镜和两个三角形端盖组成，组件外形尺寸27.5×37±0.5mm ， 三棱镜各表面光滑无痕， 两端中心均有一个Φ3.3×5±0.3mm 的沉孔。 5 、 三棱镜安装板外形尺寸104×80×4.5±0.5mm，顶部半圆 R40mm，板中心有一安装三棱镜的方孔，尺寸为 34±0.5mm×40±0.5mm，方孔上部中心有一Φ3×5mm 圆柱销，下部中心有一Φ3×3mm 圆柱销，三棱镜在方孔圆柱销中灵活转动，安装方便自如。6、卡圈为锥形圆环，外形尺寸Φ51.2±0.3mm×Φ46±0.3mm×5mm ， 外径与安装板阶梯圆孔配合松紧适度， 确保棱镜定位可靠。7 、支架外形尺寸</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 xml:space="preserve">84×40×65±0.5mm，卡口与安装板配合松紧适度，上下滑动平稳自如。产品符合 JY0001－2003《教学仪器设备产品一般质量要求》的有关规定。       </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13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成像屏及支架</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1.由成像屏及支架组成。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2.成像屏长75mm、宽60mm、厚1mm的塑料白屏和厚1mm的塑料毛玻璃，平整无划痕。</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3.支架为45mm×49mm×49mm塑料制成，共2个，组装方便。</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4.标志、说明书、包装、运输、贮存符合JY0001-2003的有关规定。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17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79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昆虫观察盒</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由带放大镜的盖和透明盒组成，放大镜不小于3倍，有效通光直径不小于40mm，成像质量符合JY/T0378－2004。透明盒底座尺寸不小于90mm×90mm，带方格线，可方便开启底座，盖上后脱开底座的力约0.3N。透光率应不小于85％。★</w:t>
            </w:r>
            <w:r>
              <w:rPr>
                <w:rFonts w:hint="eastAsia" w:ascii="宋体" w:hAnsi="宋体" w:eastAsia="宋体" w:cs="宋体"/>
                <w:b w:val="0"/>
                <w:bCs/>
                <w:i w:val="0"/>
                <w:color w:val="auto"/>
                <w:kern w:val="0"/>
                <w:sz w:val="21"/>
                <w:szCs w:val="21"/>
                <w:highlight w:val="none"/>
                <w:u w:val="none"/>
                <w:lang w:val="en-US" w:eastAsia="zh-CN" w:bidi="ar"/>
              </w:rPr>
              <w:t>（提供检验机构出具的检验报告复印件加盖公章，检验报告封面需带二维码认证鉴别真伪并与投标产品名称一致）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3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80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单摆</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由摆球、线绳、支架组成（用物理支架）。球直径∮≥20mm。摆球附悬线1根，长度均≥1000mm。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81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塑料注射器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30ml,最小刻度2ml，筒身Φ23.5mm，针筒压到底的总长137mm，配有针头，针头规格：1.6×30。产品为一次性。符合GB 15810-2001《注射器》的有关规定。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360</w:t>
            </w:r>
          </w:p>
        </w:tc>
      </w:tr>
      <w:tr>
        <w:tblPrEx>
          <w:tblCellMar>
            <w:top w:w="0" w:type="dxa"/>
            <w:left w:w="0" w:type="dxa"/>
            <w:bottom w:w="0" w:type="dxa"/>
            <w:right w:w="0" w:type="dxa"/>
          </w:tblCellMar>
        </w:tblPrEx>
        <w:trPr>
          <w:trHeight w:val="30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82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儿童骨骼模型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产品为男性儿童骨骼模型，串制成正常直立姿势于支架上；2、产品规格：高度≥80cm。材质采用PVC材料；3、颅盖横切，颞下颌关节可活动。骨缝清晰，孔、管、沟、裂正确自然；4、脊柱由7块颈椎、12块胸椎、5块腰椎、1块骶骨、1块尾骨和椎间盘组成，椎骨和椎间盘的结构准确，4个生理弯曲的位置、形态正确，第一颈椎、第二胸椎前缘、第十二胸椎前缘和骶胛应在同一垂直线上；5、胸廓由1块胸骨、12对肋骨与12对胸椎及椎间盘连接构成。形态正确；6、上肢骨肩关节可拆装，肩、肘、腕等关节可自由活动；7、下肢骨髂关节可拆装，髂、膝、踝等关节可活动；8、金属连接件应作防锈处理。装拆方便；9、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7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83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儿童牙列模型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 模型取正常儿童男性牙齿的上颌和下颌部分，用蛇形管连接，可自由张开、闭合，并附牙刷。上颌和下颌由玻璃纤维增强硬塑料制成，规格：上颌部分：不小于160mm×130mm×60mm 下颌部分：不小于160mm×130mm×55mm蛇形管由金属材料制成，外表面镀铬处理，可使上下颌闭合、张开。模型上下颌的牙齿形状、大小、排列顺序应符合儿童的生理特点。产品应符合JY0354-1999《牙列解剖模型》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34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84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少年人体半身模型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产品规格：高≥65cm。材质采用PVC材料；2、头部做正中矢状切，剥离右侧头面部部分软组织，示部分颅骨、肌肉，眼球固定于眼眶内；3、示口腔、鼻腔、咽腔、食管、喉腔和气管的纵切面和通道关系。示右侧腮腺；4、胸腔内示：心脏（可拆下，示心脏及连通心脏的主要动静脉）、两肺（前半部分可拆下，示肺门结构。右肺示内部血管及支气管分布，左肺示其断面结构）、气管、支气管、食管与胸主动脉（贴于胸腔后壁）；5、膈能拆下，示膈穹隆，示呼气状态的特点；6、腹腔内示：肝、胃、肠、胰和脾（可分别拆下），腹后壁示肌肉、左右肾及肾上腺、输尿管等结构。胃示外形，十二指肠、胰、脾相连，胰做剖面示胰腺导管，除去十二指肠前壁示胰管及胆总管开口于十二指肠大乳头，肠示空肠、回肠、盲肠、结肠、直肠，盲肠末端示阑尾，结肠示结肠带和肠脂垂，肝示外形和肝门结构：左右肝管、肝总管、胆囊管及胆囊；7、盆腔内示：膀胱、直肠末端；8、各器官的形态、结构、位置、毗邻关系应正确；9、金属连接件应防锈处理，装拆方便；10、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3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85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眼构造模型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材质应选用环保无毒材料制作，表面喷环保漆，放大6倍之成人眼球模型、底座、升降支杠组成，可拆分，眼球模型与底座均采用塑料注塑成型，眼球模型前后径约为140mm，眼球略似球形，直径150mm，前部示透明角膜，虹膜，瞳孔，后部示视神经。眼球壁通过眼球前后极做正中水平切、角膜，虹膜，瞳孔均可拆装。眼球肌示上直肌、下直肌、内直肌、外直肌、上斜肌、下斜肌、眼血管、视神经等。升降支杠采用金属材料，小支杆直径6mm，长度80mm，大支杆直径12mm，长度90mm。底座规格165mm×165mm×15mm，底座中心支杆插槽座为直径15mm，高度为38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台</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276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86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啄木鸟仿真模型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识别功能：啄木鸟为白腹黑啄木鸟，体长约210mm左右，前额、头顶、枕部为红色，头顶和枕部的羽毛伸长，形成一个长长的红色羽冠，颚纹也是红色，其余头、颈、胸和上体均为黑色。眼睛用直径约9mm的仿真玻璃仪眼做成，瞳孔为圆形黑色，底色为黄色。嘴长约32mm左右。标本工艺台座总高度约20mm，尺寸为约145mm×115mm×13mm；底层正面中间镶有约110mm×80mm×9mm的仿真玉石板，比底层正平面微凸约4mm。啄木鸟以啄食的肢势固定于高分子制作的仿真透明根雕上，仿真树枝高约为170mm左右，最大直径约35mm左右。台座底部安装开关按钮，可控制安装在透明根雕内的红色发光二极管闪烁发光。台座底部四角安装高仿真水晶玻璃义眼作为台座垫脚，高仿真水晶玻璃义眼直径约20mm左右。</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件</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310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87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猫头鹰仿真模型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识别功能：眼周的羽毛呈辐射状，细羽的排列形成脸盘，它周身羽毛大多为褐色，散缀细斑，稠密而松软，面形似猫头大而宽，嘴短，侧扁而强壮，先端钩曲，嘴基没有蜡膜，而且多被硬羽所掩盖，头部正面的羽毛排列成面盘。体长160mm左右，眼睛用直径9mm的仿真玻璃仪眼做成，瞳孔为圆形黑色，底色为黄色。背部羽毛、翅膀、腿部和尾部颜色为褐灰色，腹部为乳白色。标本水晶工艺台座总高度20mm，底层为光面深褐色塑化水晶玻璃材料，双层弧形，尺寸为145mm×115mm×13mm；底层正面中间镶有110mm×80mm×9mm的仿真玉石板，比底层正平面微凸4mm。树根雕采用进口半透明塑化水晶玻璃材料制作自然艺术造型树根雕，根雕固定于仿真木纹塑化板上。台座底部安装开关按钮，可控制安装在水晶根雕内的红色发光二极管闪烁发光。台座底部四角安装各种颜色的高仿真水晶玻璃义眼作为台座垫脚，高仿真食草类玻璃义眼，瞳孔为横向造型，直径20mm左右。</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件</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7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88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地球构造模型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球体通过地轴连接在底座上可以自由转动，并能停止在任一位置；静止或转动时整个产品都有足够的稳定度；球体圆度符合相关的要求，地轴的倾角为66.5°，并垂直与赤道面；图形采用地图出版社新版的地球仪图片；球体不出现多处裂纹（不的大于5处），其裂纹长度不大于5mm；球体表面没有裂纹、皱纹、气泡和脱落；球体作防潮处理，表面涂清漆。★</w:t>
            </w:r>
            <w:r>
              <w:rPr>
                <w:rFonts w:hint="eastAsia" w:ascii="宋体" w:hAnsi="宋体" w:eastAsia="宋体" w:cs="宋体"/>
                <w:b w:val="0"/>
                <w:bCs/>
                <w:i w:val="0"/>
                <w:color w:val="auto"/>
                <w:kern w:val="0"/>
                <w:sz w:val="21"/>
                <w:szCs w:val="21"/>
                <w:highlight w:val="none"/>
                <w:u w:val="none"/>
                <w:lang w:val="en-US" w:eastAsia="zh-CN" w:bidi="ar"/>
              </w:rPr>
              <w:t>（提供检验机构出具的检测报告复印件加盖公章，检验报告封面需带二维码认证鉴别真伪并与投标产品名称一致）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件</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6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89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平面政区地球仪</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 产品由球体和支架等组成。</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 平面比例尺1/40000000。</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 球体通过地轴连接在支架上可以自由转动，并能停止在任一位置。</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4． 球体为正圆形，地轴的倾角为66.5°，并垂直于赤道面。</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5． 球体要做防潮处理，表面涂清漆。表面不会有裂纹、皱纹、气泡和脱落。</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6． 教学演示效果明显。</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7． 符合JY58－80《地球仪技术条件》的有关规定。</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8． 符合JY0001－2003《教学仪器一般质量要求》的有关规定。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245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平面地形地球仪</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1． 产品由球体和支架等组成。</w:t>
            </w:r>
          </w:p>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2． 球体直径为320±5mm,平面比例尺1/40000000</w:t>
            </w:r>
          </w:p>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3． 球体通过地轴连接在支架上可以自由转动，并能停止在任一位置。</w:t>
            </w:r>
          </w:p>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4． 球体为正圆形，地轴的倾角为66.5°，并垂直于赤道面。</w:t>
            </w:r>
          </w:p>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5． 球体要做防潮处理，表面涂清漆。表面不得有裂纹、皱纹、气泡和脱落。</w:t>
            </w:r>
          </w:p>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6． 教学演示效果明显。</w:t>
            </w:r>
          </w:p>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7． 符合JY58－80《地球仪技术条件》的有关规定。</w:t>
            </w:r>
          </w:p>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8． 符合JY0001－2003《教学仪器设备产品一般质量要求》的有关规定。★</w:t>
            </w:r>
            <w:r>
              <w:rPr>
                <w:rFonts w:hint="eastAsia" w:ascii="宋体" w:hAnsi="宋体" w:eastAsia="宋体" w:cs="宋体"/>
                <w:b w:val="0"/>
                <w:bCs/>
                <w:i w:val="0"/>
                <w:color w:val="auto"/>
                <w:kern w:val="0"/>
                <w:sz w:val="21"/>
                <w:szCs w:val="21"/>
                <w:highlight w:val="none"/>
                <w:u w:val="none"/>
                <w:lang w:val="en-US" w:eastAsia="zh-CN" w:bidi="ar"/>
              </w:rPr>
              <w:t>（提供检验机构出具的检验报告复印件加盖公章，检验报告封面需带二维码认证鉴别真伪并与投标产品名称一致）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7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月相变化演示器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外框规格：不小于780mm×540mm。材质为铝合金；2、面板绘制出太阳光线与地球，以及月球相对太阳光线与地球的8个典型位置，镂空8个典型月相有显示窗口，标注月相名称和对应的农历日期；3、上下盘对齐并铆合，可灵活转动；4、演示内容符合教学要求，色彩柔和，字迹和线条清晰，标记醒目；5、产品结构牢固，表面光洁；6、符合JY0001－2003《教学仪器设备产品一般质量要求》的有关规定。</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件</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845" w:hRule="atLeast"/>
          <w:jc w:val="center"/>
        </w:trPr>
        <w:tc>
          <w:tcPr>
            <w:tcW w:w="61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92</w:t>
            </w:r>
          </w:p>
        </w:tc>
        <w:tc>
          <w:tcPr>
            <w:tcW w:w="94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标本套装</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蟾蜍标本：选用大型蟾蜍制作，整体尺寸不小于75*75*30（±1mm）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1、蟾蜍形体完整，姿态自然。</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用树脂材料对蟾蜍进行固定和渗入，形成稳定和保持标本材料的树脂结构，包埋材料重金属及有害化学物质含量按照国家有关玩具安全标准，表面打磨抛光平整透明，边角平滑美观。无影响观察的气泡、割痕、伤痕。晶体应无色透明，无影响观察标本的各种缺陷。</w:t>
            </w:r>
          </w:p>
        </w:tc>
        <w:tc>
          <w:tcPr>
            <w:tcW w:w="592"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725"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94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河蚌标本：选用河蚌制作，整体尺寸不小于75*75*30 （±1mm）   </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1、河蚌形体完整，姿态自然。</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用树脂材料对河蚌进行固定和渗入，形成稳定和保持标本材料的树脂结构。包埋材料重金属及有害化学物质含量按照国家有关玩具安全标准，表面打磨抛光平整透明，边角平滑美观。无影响观察的气泡、割痕、伤痕。晶体应无色透明，无影响观察标本的各种缺陷。</w:t>
            </w:r>
          </w:p>
        </w:tc>
        <w:tc>
          <w:tcPr>
            <w:tcW w:w="59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52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r>
      <w:tr>
        <w:tblPrEx>
          <w:tblCellMar>
            <w:top w:w="0" w:type="dxa"/>
            <w:left w:w="0" w:type="dxa"/>
            <w:bottom w:w="0" w:type="dxa"/>
            <w:right w:w="0" w:type="dxa"/>
          </w:tblCellMar>
        </w:tblPrEx>
        <w:trPr>
          <w:trHeight w:val="1831"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94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爬行动物（水蛇）标本：选用蛇或蜥蜴制作，整体尺寸不小于140x64x20</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1、蛇或蜥蜴形体完整，姿态自然。</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用树脂材料对蛇或蜥蜴进行固定和渗入，形成稳定和保持标本材料的树脂结构。包埋材料重金属及有害化学物质含量按照国家有关玩具安全标准，表面打磨抛光平整透明，边角平滑美观。无影响观察的气泡、割痕、伤痕。晶体应无色透明，无影响观察标本的各种缺陷。</w:t>
            </w:r>
          </w:p>
        </w:tc>
        <w:tc>
          <w:tcPr>
            <w:tcW w:w="59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52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r>
      <w:tr>
        <w:tblPrEx>
          <w:tblCellMar>
            <w:top w:w="0" w:type="dxa"/>
            <w:left w:w="0" w:type="dxa"/>
            <w:bottom w:w="0" w:type="dxa"/>
            <w:right w:w="0" w:type="dxa"/>
          </w:tblCellMar>
        </w:tblPrEx>
        <w:trPr>
          <w:trHeight w:val="345"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94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六害标本</w:t>
            </w:r>
          </w:p>
        </w:tc>
        <w:tc>
          <w:tcPr>
            <w:tcW w:w="59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52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r>
      <w:tr>
        <w:tblPrEx>
          <w:tblCellMar>
            <w:top w:w="0" w:type="dxa"/>
            <w:left w:w="0" w:type="dxa"/>
            <w:bottom w:w="0" w:type="dxa"/>
            <w:right w:w="0" w:type="dxa"/>
          </w:tblCellMar>
        </w:tblPrEx>
        <w:trPr>
          <w:trHeight w:val="345"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94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六益标本</w:t>
            </w:r>
          </w:p>
        </w:tc>
        <w:tc>
          <w:tcPr>
            <w:tcW w:w="59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52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r>
      <w:tr>
        <w:tblPrEx>
          <w:tblCellMar>
            <w:top w:w="0" w:type="dxa"/>
            <w:left w:w="0" w:type="dxa"/>
            <w:bottom w:w="0" w:type="dxa"/>
            <w:right w:w="0" w:type="dxa"/>
          </w:tblCellMar>
        </w:tblPrEx>
        <w:trPr>
          <w:trHeight w:val="1660"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94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蛙发育顺序标本：1、整体尺寸不小于：140*64*18mm（误差±2mm）。2.标本应由蛙的8个发育期组成，④～⑧期形体完整，姿态自然。无明显干瘪发黑现象。用树脂材料进行固定和渗入包埋材料重金属及有害化学物质含量按照国家有关玩具安全标准，表面打磨抛光平整透明，边角平滑美观。无影响观察的气泡、割痕、伤痕。晶体应无色透明，无影响观察标本的各种缺陷。</w:t>
            </w:r>
          </w:p>
        </w:tc>
        <w:tc>
          <w:tcPr>
            <w:tcW w:w="59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52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r>
      <w:tr>
        <w:tblPrEx>
          <w:tblCellMar>
            <w:top w:w="0" w:type="dxa"/>
            <w:left w:w="0" w:type="dxa"/>
            <w:bottom w:w="0" w:type="dxa"/>
            <w:right w:w="0" w:type="dxa"/>
          </w:tblCellMar>
        </w:tblPrEx>
        <w:trPr>
          <w:trHeight w:val="2315"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94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桑蚕生活史标本：整体尺寸不小于 ：163*80*22（±1mm）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1、由卵、蚁蚕至四龄幼虫、蛹、雌雄成虫及茧组成，附蚕丝、丝绸及桑叶。按生活史顺序排列。</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用树脂材料对桑蚕各阶段昆虫和其他标本材料进行固定和渗入，形成稳定和保持标本材料的树脂结构。包埋材料重金属及有害化学物质含量按照国家有关玩具安全标准，表面打磨抛光平整透明，边角平滑美观。无影响观察的气泡、割痕、伤痕。晶体应无色透明，无影响观察标本的各种缺陷。</w:t>
            </w:r>
          </w:p>
        </w:tc>
        <w:tc>
          <w:tcPr>
            <w:tcW w:w="59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52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r>
      <w:tr>
        <w:tblPrEx>
          <w:tblCellMar>
            <w:top w:w="0" w:type="dxa"/>
            <w:left w:w="0" w:type="dxa"/>
            <w:bottom w:w="0" w:type="dxa"/>
            <w:right w:w="0" w:type="dxa"/>
          </w:tblCellMar>
        </w:tblPrEx>
        <w:trPr>
          <w:trHeight w:val="1725" w:hRule="atLeast"/>
          <w:jc w:val="center"/>
        </w:trPr>
        <w:tc>
          <w:tcPr>
            <w:tcW w:w="61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94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种子传播方式标本：整体尺寸不小于 ：163*80*22（±1mm）</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1、应由四种不同的植物种子组成，代表四种不同的种子传播方式。</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用树脂材料对植物种子进行固定和渗入，形成稳定和保持标本材料的树脂结构，包埋材料重金属及有害化学物质含量按照国家有关玩具安全标准，表面打磨抛光平整透明，边角平滑美观。无影响观察的气泡、割痕、伤痕。晶体应无色透明，无影响观察标本的各种缺陷。</w:t>
            </w:r>
          </w:p>
        </w:tc>
        <w:tc>
          <w:tcPr>
            <w:tcW w:w="59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c>
          <w:tcPr>
            <w:tcW w:w="52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b w:val="0"/>
                <w:bCs/>
                <w:i w:val="0"/>
                <w:color w:val="auto"/>
                <w:sz w:val="21"/>
                <w:szCs w:val="21"/>
                <w:u w:val="none"/>
              </w:rPr>
            </w:pPr>
          </w:p>
        </w:tc>
      </w:tr>
      <w:tr>
        <w:tblPrEx>
          <w:tblCellMar>
            <w:top w:w="0" w:type="dxa"/>
            <w:left w:w="0" w:type="dxa"/>
            <w:bottom w:w="0" w:type="dxa"/>
            <w:right w:w="0" w:type="dxa"/>
          </w:tblCellMar>
        </w:tblPrEx>
        <w:trPr>
          <w:trHeight w:val="49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兔外形标本</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透明有机玻璃封装；</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件</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60 </w:t>
            </w:r>
          </w:p>
        </w:tc>
      </w:tr>
      <w:tr>
        <w:tblPrEx>
          <w:tblCellMar>
            <w:top w:w="0" w:type="dxa"/>
            <w:left w:w="0" w:type="dxa"/>
            <w:bottom w:w="0" w:type="dxa"/>
            <w:right w:w="0" w:type="dxa"/>
          </w:tblCellMar>
        </w:tblPrEx>
        <w:trPr>
          <w:trHeight w:val="5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矿物标本</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透明有机玻璃封装；</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60 </w:t>
            </w:r>
          </w:p>
        </w:tc>
      </w:tr>
      <w:tr>
        <w:tblPrEx>
          <w:tblCellMar>
            <w:top w:w="0" w:type="dxa"/>
            <w:left w:w="0" w:type="dxa"/>
            <w:bottom w:w="0" w:type="dxa"/>
            <w:right w:w="0" w:type="dxa"/>
          </w:tblCellMar>
        </w:tblPrEx>
        <w:trPr>
          <w:trHeight w:val="5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岩石标本</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透明有机玻璃封装；</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60</w:t>
            </w:r>
          </w:p>
        </w:tc>
      </w:tr>
      <w:tr>
        <w:tblPrEx>
          <w:tblCellMar>
            <w:top w:w="0" w:type="dxa"/>
            <w:left w:w="0" w:type="dxa"/>
            <w:bottom w:w="0" w:type="dxa"/>
            <w:right w:w="0" w:type="dxa"/>
          </w:tblCellMar>
        </w:tblPrEx>
        <w:trPr>
          <w:trHeight w:val="7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金属矿物标本盒</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铜、铁、铝、钨、锡等透明有机玻璃封装；</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60</w:t>
            </w:r>
          </w:p>
        </w:tc>
      </w:tr>
      <w:tr>
        <w:tblPrEx>
          <w:tblCellMar>
            <w:top w:w="0" w:type="dxa"/>
            <w:left w:w="0" w:type="dxa"/>
            <w:bottom w:w="0" w:type="dxa"/>
            <w:right w:w="0" w:type="dxa"/>
          </w:tblCellMar>
        </w:tblPrEx>
        <w:trPr>
          <w:trHeight w:val="52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土壤标本</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透明有机玻璃封装；</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60 </w:t>
            </w:r>
          </w:p>
        </w:tc>
      </w:tr>
      <w:tr>
        <w:tblPrEx>
          <w:tblCellMar>
            <w:top w:w="0" w:type="dxa"/>
            <w:left w:w="0" w:type="dxa"/>
            <w:bottom w:w="0" w:type="dxa"/>
            <w:right w:w="0" w:type="dxa"/>
          </w:tblCellMar>
        </w:tblPrEx>
        <w:trPr>
          <w:trHeight w:val="51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矿物提炼标本</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石油、金属等，透明有机玻璃封装；</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60 </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洋葱表皮装片</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标本在80×和200×学生显微镜下观察鳞片叶表皮形态和结构</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片</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60</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100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叶片横切</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标本在80×和200×学生显微镜下，观察迎春叶横断面</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片</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60 </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101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叶片气孔装片</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标本在80×和200×学生显微镜下，观察迎春叶横断面</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片</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60</w:t>
            </w:r>
          </w:p>
        </w:tc>
      </w:tr>
      <w:tr>
        <w:tblPrEx>
          <w:tblCellMar>
            <w:top w:w="0" w:type="dxa"/>
            <w:left w:w="0" w:type="dxa"/>
            <w:bottom w:w="0" w:type="dxa"/>
            <w:right w:w="0" w:type="dxa"/>
          </w:tblCellMar>
        </w:tblPrEx>
        <w:trPr>
          <w:trHeight w:val="77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102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动物表皮细胞装片</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标本在80x和200x学生显微镜下观察动物表皮细胞的结构。</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片</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60 </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103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蛙卵细胞切片</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标本在50×生物显微镜下观察蛙受精卵尚未进行第一次分裂时的形态。★提供生产厂家省级或省级以上相关检测部门出具的产品检测报告原件或加盖生产厂家公章的复印件。</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片</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60 </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104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骨细胞切片</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标本在50×和100×显微镜下观察骨单位结构。每片材料不小于3mm×3mm。★提供生产厂家省级或省级以上相关检测部门出具的产品检测报告原件或加盖生产厂家公章的复印件。</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片</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60 </w:t>
            </w:r>
          </w:p>
        </w:tc>
      </w:tr>
      <w:tr>
        <w:tblPrEx>
          <w:tblCellMar>
            <w:top w:w="0" w:type="dxa"/>
            <w:left w:w="0" w:type="dxa"/>
            <w:bottom w:w="0" w:type="dxa"/>
            <w:right w:w="0" w:type="dxa"/>
          </w:tblCellMar>
        </w:tblPrEx>
        <w:trPr>
          <w:trHeight w:val="72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105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口腔黏膜细胞装片</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标本在400x生物显微镜下观察复层扁平上皮的结构。</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片</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60</w:t>
            </w:r>
          </w:p>
        </w:tc>
      </w:tr>
      <w:tr>
        <w:tblPrEx>
          <w:tblCellMar>
            <w:top w:w="0" w:type="dxa"/>
            <w:left w:w="0" w:type="dxa"/>
            <w:bottom w:w="0" w:type="dxa"/>
            <w:right w:w="0" w:type="dxa"/>
          </w:tblCellMar>
        </w:tblPrEx>
        <w:trPr>
          <w:trHeight w:val="50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106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人血细胞装片</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标本在400x生物显微镜下观察血液中血胞的形。★提供生产厂家省级或省级以上相关检测部门出具的产品检测报告原件或加盖生产厂家公章的复印件。</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片</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60 </w:t>
            </w:r>
          </w:p>
        </w:tc>
      </w:tr>
      <w:tr>
        <w:tblPrEx>
          <w:tblCellMar>
            <w:top w:w="0" w:type="dxa"/>
            <w:left w:w="0" w:type="dxa"/>
            <w:bottom w:w="0" w:type="dxa"/>
            <w:right w:w="0" w:type="dxa"/>
          </w:tblCellMar>
        </w:tblPrEx>
        <w:trPr>
          <w:trHeight w:val="6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107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中国政区地图</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适用于按照《义务教育课程标准实验教科书数学》编写的并经国家教材审定通过的各种版本的小学数学教材。</w:t>
            </w:r>
            <w:r>
              <w:rPr>
                <w:rFonts w:hint="eastAsia" w:ascii="宋体" w:hAnsi="宋体" w:eastAsia="宋体" w:cs="宋体"/>
                <w:b w:val="0"/>
                <w:bCs/>
                <w:color w:val="auto"/>
                <w:sz w:val="21"/>
                <w:szCs w:val="21"/>
                <w:lang w:val="en-US" w:eastAsia="zh-CN"/>
              </w:rPr>
              <w:t>全开；不少于128克铜版纸</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张</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64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108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中国地形地图</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适用于按照《义务教育课程标准实验教科书数学》编写的并经国家教材审定通过的各种版本的小学数学教材。</w:t>
            </w:r>
            <w:r>
              <w:rPr>
                <w:rFonts w:hint="eastAsia" w:ascii="宋体" w:hAnsi="宋体" w:eastAsia="宋体" w:cs="宋体"/>
                <w:b w:val="0"/>
                <w:bCs/>
                <w:color w:val="auto"/>
                <w:sz w:val="21"/>
                <w:szCs w:val="21"/>
                <w:lang w:val="en-US" w:eastAsia="zh-CN"/>
              </w:rPr>
              <w:t>全开；不少于128克铜版纸</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张</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109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1"/>
                <w:szCs w:val="21"/>
                <w:u w:val="none"/>
                <w:lang w:val="en-US" w:eastAsia="zh-CN" w:bidi="ar"/>
              </w:rPr>
            </w:pPr>
            <w:r>
              <w:rPr>
                <w:rFonts w:hint="eastAsia" w:ascii="宋体" w:hAnsi="宋体" w:eastAsia="宋体" w:cs="宋体"/>
                <w:b w:val="0"/>
                <w:bCs/>
                <w:i w:val="0"/>
                <w:color w:val="auto"/>
                <w:kern w:val="0"/>
                <w:sz w:val="21"/>
                <w:szCs w:val="21"/>
                <w:u w:val="none"/>
                <w:lang w:val="en-US" w:eastAsia="zh-CN" w:bidi="ar"/>
              </w:rPr>
              <w:t>小学科学安全操作挂图</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tabs>
                <w:tab w:val="left" w:pos="2428"/>
              </w:tabs>
              <w:jc w:val="left"/>
              <w:textAlignment w:val="center"/>
              <w:rPr>
                <w:rFonts w:hint="eastAsia" w:ascii="宋体" w:hAnsi="宋体" w:eastAsia="宋体" w:cs="宋体"/>
                <w:b w:val="0"/>
                <w:bCs/>
                <w:i w:val="0"/>
                <w:color w:val="auto"/>
                <w:kern w:val="0"/>
                <w:sz w:val="21"/>
                <w:szCs w:val="21"/>
                <w:highlight w:val="none"/>
                <w:u w:val="none"/>
                <w:lang w:val="en-US" w:eastAsia="zh-CN" w:bidi="ar"/>
              </w:rPr>
            </w:pPr>
            <w:r>
              <w:rPr>
                <w:rFonts w:hint="eastAsia" w:ascii="宋体" w:hAnsi="宋体" w:eastAsia="宋体" w:cs="宋体"/>
                <w:b w:val="0"/>
                <w:bCs/>
                <w:i w:val="0"/>
                <w:color w:val="auto"/>
                <w:kern w:val="0"/>
                <w:sz w:val="21"/>
                <w:szCs w:val="21"/>
                <w:u w:val="none"/>
                <w:lang w:val="en-US" w:eastAsia="zh-CN" w:bidi="ar"/>
              </w:rPr>
              <w:t>用于按照《义务教育课程标准实验教科书数学》编写的并经国家教材审定通过的各种版本的小学数学教材。</w:t>
            </w:r>
            <w:r>
              <w:rPr>
                <w:rFonts w:hint="eastAsia" w:ascii="宋体" w:hAnsi="宋体" w:eastAsia="宋体" w:cs="宋体"/>
                <w:b w:val="0"/>
                <w:bCs/>
                <w:color w:val="auto"/>
                <w:sz w:val="21"/>
                <w:szCs w:val="21"/>
                <w:lang w:val="en-US" w:eastAsia="zh-CN"/>
              </w:rPr>
              <w:t>对开；不少于128克铜版纸</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0"/>
                <w:sz w:val="21"/>
                <w:szCs w:val="21"/>
                <w:u w:val="none"/>
                <w:lang w:val="en-US" w:eastAsia="zh-CN" w:bidi="ar"/>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kern w:val="0"/>
                <w:sz w:val="21"/>
                <w:szCs w:val="21"/>
                <w:u w:val="none"/>
                <w:lang w:val="en-US" w:eastAsia="zh-CN" w:bidi="ar"/>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110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植物分类图谱</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tabs>
                <w:tab w:val="left" w:pos="2428"/>
              </w:tabs>
              <w:jc w:val="left"/>
              <w:textAlignment w:val="center"/>
              <w:rPr>
                <w:rFonts w:hint="eastAsia" w:ascii="宋体" w:hAnsi="宋体" w:eastAsia="宋体" w:cs="宋体"/>
                <w:b w:val="0"/>
                <w:bCs/>
                <w:i w:val="0"/>
                <w:color w:val="auto"/>
                <w:sz w:val="21"/>
                <w:szCs w:val="21"/>
                <w:highlight w:val="yellow"/>
                <w:u w:val="none"/>
              </w:rPr>
            </w:pPr>
            <w:r>
              <w:rPr>
                <w:rFonts w:hint="eastAsia" w:ascii="宋体" w:hAnsi="宋体" w:eastAsia="宋体" w:cs="宋体"/>
                <w:b w:val="0"/>
                <w:bCs/>
                <w:i w:val="0"/>
                <w:color w:val="auto"/>
                <w:kern w:val="0"/>
                <w:sz w:val="21"/>
                <w:szCs w:val="21"/>
                <w:highlight w:val="none"/>
                <w:u w:val="none"/>
                <w:lang w:val="en-US" w:eastAsia="zh-CN" w:bidi="ar"/>
              </w:rPr>
              <w:t>16开，彩色印刷，★提供省级或省级以上相关检测部门出具的产品检测报告原件或加盖生产厂家公章的复印件。</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111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动物分类图谱</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highlight w:val="yellow"/>
                <w:u w:val="none"/>
              </w:rPr>
            </w:pPr>
            <w:r>
              <w:rPr>
                <w:rFonts w:hint="eastAsia" w:ascii="宋体" w:hAnsi="宋体" w:eastAsia="宋体" w:cs="宋体"/>
                <w:b w:val="0"/>
                <w:bCs/>
                <w:i w:val="0"/>
                <w:color w:val="auto"/>
                <w:kern w:val="0"/>
                <w:sz w:val="21"/>
                <w:szCs w:val="21"/>
                <w:highlight w:val="none"/>
                <w:u w:val="none"/>
                <w:lang w:val="en-US" w:eastAsia="zh-CN" w:bidi="ar"/>
              </w:rPr>
              <w:t>16开，彩色印刷，★提供省级或省级以上相关检测部门出具的产品检测报告原件或加盖生产厂家公章的复印件。</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7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112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小学科学教学素材库</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符合新课标要求，教学光盘，内容丰富。</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08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113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小学科学实验教学指导书</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根据现行教材</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10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114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小学科学实验仪器手册</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根据现行教材</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328"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115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小学科学一般实验材料</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蜡纸、锡箔纸、塑料手套、塑料管、毛细管、种子、橡皮泥、种植土、过滤纸、导线、碘酒、蜡烛塑料薄膜、透明塑料袋、不透明塑料袋、棉布、吸管、食用油、食盐、食糖、气球、方格纸、松香等符合小学科学教学实验使用材料。</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套</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180</w:t>
            </w:r>
          </w:p>
        </w:tc>
      </w:tr>
      <w:tr>
        <w:tblPrEx>
          <w:tblCellMar>
            <w:top w:w="0" w:type="dxa"/>
            <w:left w:w="0" w:type="dxa"/>
            <w:bottom w:w="0" w:type="dxa"/>
            <w:right w:w="0" w:type="dxa"/>
          </w:tblCellMar>
        </w:tblPrEx>
        <w:trPr>
          <w:trHeight w:val="339"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116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载玻片</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玻璃制。通过计量认证。0.1mm 1/400mm²。产品执行JB/T8230.3《载玻片》的标准。</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盒</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3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117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盖玻片</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产品为钠钙玻璃制品，100片/盒、18mm×18mm±0.5mm </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包</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90</w:t>
            </w:r>
          </w:p>
        </w:tc>
      </w:tr>
      <w:tr>
        <w:tblPrEx>
          <w:tblCellMar>
            <w:top w:w="0" w:type="dxa"/>
            <w:left w:w="0" w:type="dxa"/>
            <w:bottom w:w="0" w:type="dxa"/>
            <w:right w:w="0" w:type="dxa"/>
          </w:tblCellMar>
        </w:tblPrEx>
        <w:trPr>
          <w:trHeight w:val="3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118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测电笔</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氖气泡，符合国家安全标准</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49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119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十字螺丝刀</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型号规格：十字，1、旋杆材料采用45#钢，工作部长度内硬度HRC48～54；旋杆长度L:100mm，直径D:6mm；旋杆经镀铬防锈处理；旋柄为硬质塑料制成，表面光洁无毛刺，无缩迹，与旋杆接合牢固，并有产品标记和标准编号。</w:t>
            </w:r>
            <w:r>
              <w:rPr>
                <w:rFonts w:hint="eastAsia" w:ascii="宋体" w:hAnsi="宋体" w:eastAsia="宋体" w:cs="宋体"/>
                <w:b w:val="0"/>
                <w:bCs/>
                <w:i w:val="0"/>
                <w:color w:val="auto"/>
                <w:kern w:val="0"/>
                <w:sz w:val="21"/>
                <w:szCs w:val="21"/>
                <w:highlight w:val="none"/>
                <w:u w:val="none"/>
                <w:lang w:val="en-US" w:eastAsia="zh-CN" w:bidi="ar"/>
              </w:rPr>
              <w:t>★（提供检验机构出具的检验报告复印件加盖公章，检验报告封面需带二维码认证鉴别真伪并与投标产品名称一致）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69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一字螺丝刀</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sz w:val="21"/>
                <w:szCs w:val="21"/>
                <w:highlight w:val="none"/>
                <w:u w:val="none"/>
              </w:rPr>
              <w:t>型号规格：一字，100mm×0.6mm×6mm ， 1、旋杆长度采用45#钢，工作部硬度不低于HRC48；旋杆长度L:100mm，直径D:6mm；旋杆经镀鉻防锈处理；旋柄为硬质塑料制成，表面光洁、无毛刺，无缩迹。与旋杆接合牢固，并有产品标记及标准编号。</w:t>
            </w:r>
            <w:r>
              <w:rPr>
                <w:rFonts w:hint="eastAsia" w:ascii="宋体" w:hAnsi="宋体" w:eastAsia="宋体" w:cs="宋体"/>
                <w:b w:val="0"/>
                <w:bCs/>
                <w:i w:val="0"/>
                <w:color w:val="auto"/>
                <w:kern w:val="0"/>
                <w:sz w:val="21"/>
                <w:szCs w:val="21"/>
                <w:highlight w:val="none"/>
                <w:u w:val="none"/>
                <w:lang w:val="en-US" w:eastAsia="zh-CN" w:bidi="ar"/>
              </w:rPr>
              <w:t>★（提供检验机构出具的检验报告复印件加盖公章，检验报告封面需带二维码认证鉴别真伪并与投标产品名称一致）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3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尖嘴钳</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150MM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3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钢手锯</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木柄</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3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木工锯</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铁制</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3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钢丝钳</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 xml:space="preserve">中号;直径约250mm    </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65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手锤</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1、锤头为圆头，无毛刺，手柄光滑。</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2、手柄与锤头装配紧密牢固。</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3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126</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活扳手</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规格：长约150mm。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38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127</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花盆</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塑料制。直径不小于150mm。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426"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128</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小刀</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不锈钢，塑料柄</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480"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129</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塑料桶</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1．用环保材料制；无毒无味。</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2．圆型，带盖，开口直径不小于150mm，高度不小于200mm，带提手。</w:t>
            </w:r>
            <w:r>
              <w:rPr>
                <w:rFonts w:hint="eastAsia" w:ascii="宋体" w:hAnsi="宋体" w:eastAsia="宋体" w:cs="宋体"/>
                <w:b w:val="0"/>
                <w:bCs/>
                <w:i w:val="0"/>
                <w:color w:val="auto"/>
                <w:kern w:val="0"/>
                <w:sz w:val="21"/>
                <w:szCs w:val="21"/>
                <w:u w:val="none"/>
                <w:lang w:val="en-US" w:eastAsia="zh-CN" w:bidi="ar"/>
              </w:rPr>
              <w:br w:type="textWrapping"/>
            </w:r>
            <w:r>
              <w:rPr>
                <w:rFonts w:hint="eastAsia" w:ascii="宋体" w:hAnsi="宋体" w:eastAsia="宋体" w:cs="宋体"/>
                <w:b w:val="0"/>
                <w:bCs/>
                <w:i w:val="0"/>
                <w:color w:val="auto"/>
                <w:kern w:val="0"/>
                <w:sz w:val="21"/>
                <w:szCs w:val="21"/>
                <w:u w:val="none"/>
                <w:lang w:val="en-US" w:eastAsia="zh-CN" w:bidi="ar"/>
              </w:rPr>
              <w:t>3．产品应符合JY0001－2003《教学仪器产品一般质量要求》。</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3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130</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手摇铃</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铜制作</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4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131</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手持筛子</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金属网，200mm</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3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132</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喷水壶</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白色0.8L</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64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133</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吹风机</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电吹风最大功率: 1000W(含)-1199W(含)电吹风档位: 3档电吹风风嘴样式: 单集风嘴功能: 负离子</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15</w:t>
            </w:r>
          </w:p>
        </w:tc>
      </w:tr>
      <w:tr>
        <w:tblPrEx>
          <w:tblCellMar>
            <w:top w:w="0" w:type="dxa"/>
            <w:left w:w="0" w:type="dxa"/>
            <w:bottom w:w="0" w:type="dxa"/>
            <w:right w:w="0" w:type="dxa"/>
          </w:tblCellMar>
        </w:tblPrEx>
        <w:trPr>
          <w:trHeight w:val="59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lang w:val="en-US" w:eastAsia="zh-CN"/>
              </w:rPr>
            </w:pPr>
            <w:r>
              <w:rPr>
                <w:rFonts w:hint="eastAsia" w:ascii="宋体" w:hAnsi="宋体" w:eastAsia="宋体" w:cs="宋体"/>
                <w:b w:val="0"/>
                <w:bCs/>
                <w:i w:val="0"/>
                <w:color w:val="auto"/>
                <w:sz w:val="21"/>
                <w:szCs w:val="21"/>
                <w:u w:val="none"/>
                <w:lang w:val="en-US" w:eastAsia="zh-CN"/>
              </w:rPr>
              <w:t>134</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采集捕捞工具</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标本夹、捕虫网、水网、小铁铲、枝剪等</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sz w:val="21"/>
                <w:szCs w:val="21"/>
                <w:u w:val="none"/>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sz w:val="21"/>
                <w:szCs w:val="21"/>
                <w:u w:val="none"/>
                <w:lang w:val="en-US"/>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595" w:hRule="atLeast"/>
          <w:jc w:val="center"/>
        </w:trPr>
        <w:tc>
          <w:tcPr>
            <w:tcW w:w="6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2"/>
                <w:sz w:val="21"/>
                <w:szCs w:val="21"/>
                <w:u w:val="none"/>
                <w:lang w:val="en-US" w:eastAsia="zh-CN" w:bidi="ar-SA"/>
              </w:rPr>
            </w:pPr>
            <w:r>
              <w:rPr>
                <w:rFonts w:hint="eastAsia" w:ascii="宋体" w:hAnsi="宋体" w:eastAsia="宋体" w:cs="宋体"/>
                <w:b w:val="0"/>
                <w:bCs/>
                <w:i w:val="0"/>
                <w:color w:val="auto"/>
                <w:sz w:val="21"/>
                <w:szCs w:val="21"/>
                <w:u w:val="none"/>
                <w:lang w:val="en-US" w:eastAsia="zh-CN"/>
              </w:rPr>
              <w:t>135</w:t>
            </w:r>
          </w:p>
        </w:tc>
        <w:tc>
          <w:tcPr>
            <w:tcW w:w="9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2"/>
                <w:sz w:val="21"/>
                <w:szCs w:val="21"/>
                <w:u w:val="none"/>
                <w:lang w:val="en-US" w:eastAsia="zh-CN" w:bidi="ar-SA"/>
              </w:rPr>
            </w:pPr>
            <w:r>
              <w:rPr>
                <w:rFonts w:hint="eastAsia" w:ascii="宋体" w:hAnsi="宋体" w:eastAsia="宋体" w:cs="宋体"/>
                <w:b w:val="0"/>
                <w:bCs/>
                <w:i w:val="0"/>
                <w:color w:val="auto"/>
                <w:kern w:val="0"/>
                <w:sz w:val="21"/>
                <w:szCs w:val="21"/>
                <w:u w:val="none"/>
                <w:lang w:val="en-US" w:eastAsia="zh-CN" w:bidi="ar"/>
              </w:rPr>
              <w:t>榨汁器</w:t>
            </w:r>
          </w:p>
        </w:tc>
        <w:tc>
          <w:tcPr>
            <w:tcW w:w="755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val="0"/>
                <w:bCs/>
                <w:i w:val="0"/>
                <w:color w:val="auto"/>
                <w:kern w:val="2"/>
                <w:sz w:val="21"/>
                <w:szCs w:val="21"/>
                <w:u w:val="none"/>
                <w:lang w:val="en-US" w:eastAsia="zh-CN" w:bidi="ar-SA"/>
              </w:rPr>
            </w:pPr>
            <w:r>
              <w:rPr>
                <w:rFonts w:hint="eastAsia" w:ascii="宋体" w:hAnsi="宋体" w:eastAsia="宋体" w:cs="宋体"/>
                <w:b w:val="0"/>
                <w:bCs/>
                <w:i w:val="0"/>
                <w:color w:val="auto"/>
                <w:kern w:val="0"/>
                <w:sz w:val="21"/>
                <w:szCs w:val="21"/>
                <w:u w:val="none"/>
                <w:lang w:val="en-US" w:eastAsia="zh-CN" w:bidi="ar"/>
              </w:rPr>
              <w:t>加料口形状: 圆形。容量: 401mL(含)-600mL(含)。榨汁机机身材质: 塑料</w:t>
            </w:r>
          </w:p>
        </w:tc>
        <w:tc>
          <w:tcPr>
            <w:tcW w:w="5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i w:val="0"/>
                <w:color w:val="auto"/>
                <w:kern w:val="2"/>
                <w:sz w:val="21"/>
                <w:szCs w:val="21"/>
                <w:u w:val="none"/>
                <w:lang w:val="en-US" w:eastAsia="zh-CN" w:bidi="ar-SA"/>
              </w:rPr>
            </w:pPr>
            <w:r>
              <w:rPr>
                <w:rFonts w:hint="eastAsia" w:ascii="宋体" w:hAnsi="宋体" w:eastAsia="宋体" w:cs="宋体"/>
                <w:b w:val="0"/>
                <w:bCs/>
                <w:i w:val="0"/>
                <w:color w:val="auto"/>
                <w:kern w:val="0"/>
                <w:sz w:val="21"/>
                <w:szCs w:val="21"/>
                <w:u w:val="none"/>
                <w:lang w:val="en-US" w:eastAsia="zh-CN" w:bidi="ar"/>
              </w:rPr>
              <w:t>个</w:t>
            </w:r>
          </w:p>
        </w:tc>
        <w:tc>
          <w:tcPr>
            <w:tcW w:w="5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b w:val="0"/>
                <w:bCs/>
                <w:i w:val="0"/>
                <w:color w:val="auto"/>
                <w:kern w:val="2"/>
                <w:sz w:val="21"/>
                <w:szCs w:val="21"/>
                <w:u w:val="none"/>
                <w:lang w:val="en-US" w:eastAsia="zh-CN" w:bidi="ar-SA"/>
              </w:rPr>
            </w:pPr>
            <w:r>
              <w:rPr>
                <w:rFonts w:hint="eastAsia" w:ascii="宋体" w:hAnsi="宋体" w:eastAsia="宋体" w:cs="宋体"/>
                <w:b w:val="0"/>
                <w:bCs/>
                <w:i w:val="0"/>
                <w:color w:val="auto"/>
                <w:kern w:val="0"/>
                <w:sz w:val="21"/>
                <w:szCs w:val="21"/>
                <w:u w:val="none"/>
                <w:lang w:val="en-US" w:eastAsia="zh-CN" w:bidi="ar"/>
              </w:rPr>
              <w:t>90</w:t>
            </w:r>
          </w:p>
        </w:tc>
      </w:tr>
      <w:tr>
        <w:tblPrEx>
          <w:tblCellMar>
            <w:top w:w="0" w:type="dxa"/>
            <w:left w:w="0" w:type="dxa"/>
            <w:bottom w:w="0" w:type="dxa"/>
            <w:right w:w="0" w:type="dxa"/>
          </w:tblCellMar>
        </w:tblPrEx>
        <w:trPr>
          <w:trHeight w:val="5807" w:hRule="atLeast"/>
          <w:jc w:val="center"/>
        </w:trPr>
        <w:tc>
          <w:tcPr>
            <w:tcW w:w="616"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bidi w:val="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136</w:t>
            </w:r>
          </w:p>
        </w:tc>
        <w:tc>
          <w:tcPr>
            <w:tcW w:w="940"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bidi w:val="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颜色的吸热效应实验箱</w:t>
            </w:r>
          </w:p>
        </w:tc>
        <w:tc>
          <w:tcPr>
            <w:tcW w:w="7556"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bidi w:val="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 xml:space="preserve"> 规格:外径48*38.3*24.3cm。材质：采用进口PP、ABS树脂材原料，优质进口硬质珍珠棉内衬，材料环保无毒无味。</w:t>
            </w:r>
          </w:p>
          <w:p>
            <w:pPr>
              <w:bidi w:val="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结构：抽屉式设计，嵌入式专槽定位，方便取用保管。堆积方式：可多个叠加组合摆放，无需另外配备仪器柜或货架。</w:t>
            </w:r>
          </w:p>
          <w:p>
            <w:pPr>
              <w:bidi w:val="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主要配置器材及属性描述：</w:t>
            </w:r>
          </w:p>
          <w:p>
            <w:pPr>
              <w:bidi w:val="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颜色的吸热效应实验器：工作电压：AC220V；工作电流：0.7A；体积：180x65x200mm3；材料：钢铝等；器材：单体；附件：挡光板、备用电池；适用温度范围：-10~40；2、本实验器采用一体式钣金壳体，坚固耐用，可以有效对应用的大功率直线光源进行散热，吸热板分白、绿、黑三种颜色，采用相同温度传感器，能够快速将吸热后产生的温度通过电子温度计显示出来。</w:t>
            </w:r>
          </w:p>
          <w:p>
            <w:pPr>
              <w:bidi w:val="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可以完成的探究活动或实验课题Y</w:t>
            </w:r>
          </w:p>
          <w:p>
            <w:pPr>
              <w:bidi w:val="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1、通过观察不同颜色的吸热板被光照射后的温度变化研究不同颜色的吸热效应；</w:t>
            </w:r>
          </w:p>
          <w:p>
            <w:pPr>
              <w:bidi w:val="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2、探究为什么夏天人们喜欢穿浅色的衣服；</w:t>
            </w:r>
          </w:p>
          <w:p>
            <w:pPr>
              <w:pStyle w:val="2"/>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3、探究保温材料的颜色选型等。</w:t>
            </w:r>
          </w:p>
        </w:tc>
        <w:tc>
          <w:tcPr>
            <w:tcW w:w="592"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bidi w:val="0"/>
              <w:jc w:val="center"/>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套</w:t>
            </w:r>
          </w:p>
        </w:tc>
        <w:tc>
          <w:tcPr>
            <w:tcW w:w="526" w:type="dxa"/>
            <w:gridSpan w:val="2"/>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bidi w:val="0"/>
              <w:jc w:val="center"/>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15</w:t>
            </w:r>
          </w:p>
        </w:tc>
      </w:tr>
      <w:tr>
        <w:tblPrEx>
          <w:tblCellMar>
            <w:top w:w="0" w:type="dxa"/>
            <w:left w:w="0" w:type="dxa"/>
            <w:bottom w:w="0" w:type="dxa"/>
            <w:right w:w="0" w:type="dxa"/>
          </w:tblCellMar>
        </w:tblPrEx>
        <w:trPr>
          <w:trHeight w:val="509" w:hRule="atLeast"/>
          <w:jc w:val="center"/>
        </w:trPr>
        <w:tc>
          <w:tcPr>
            <w:tcW w:w="10230" w:type="dxa"/>
            <w:gridSpan w:val="6"/>
            <w:tcBorders>
              <w:top w:val="single" w:color="auto" w:sz="4" w:space="0"/>
              <w:left w:val="nil"/>
              <w:bottom w:val="nil"/>
              <w:right w:val="nil"/>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b/>
                <w:bCs/>
                <w:i w:val="0"/>
                <w:color w:val="000000"/>
                <w:kern w:val="0"/>
                <w:sz w:val="32"/>
                <w:szCs w:val="32"/>
                <w:u w:val="none"/>
                <w:vertAlign w:val="baseline"/>
                <w:lang w:val="en-US" w:eastAsia="zh-CN" w:bidi="ar"/>
              </w:rPr>
            </w:pPr>
          </w:p>
          <w:p>
            <w:pPr>
              <w:keepNext w:val="0"/>
              <w:keepLines w:val="0"/>
              <w:widowControl/>
              <w:suppressLineNumbers w:val="0"/>
              <w:jc w:val="both"/>
              <w:textAlignment w:val="center"/>
              <w:rPr>
                <w:rFonts w:hint="eastAsia" w:ascii="宋体" w:hAnsi="宋体" w:eastAsia="宋体" w:cs="宋体"/>
                <w:b/>
                <w:bCs/>
                <w:i w:val="0"/>
                <w:color w:val="000000"/>
                <w:kern w:val="0"/>
                <w:sz w:val="32"/>
                <w:szCs w:val="32"/>
                <w:u w:val="none"/>
                <w:vertAlign w:val="baseline"/>
                <w:lang w:val="en-US" w:eastAsia="zh-CN" w:bidi="ar"/>
              </w:rPr>
            </w:pPr>
          </w:p>
          <w:p>
            <w:pPr>
              <w:keepNext w:val="0"/>
              <w:keepLines w:val="0"/>
              <w:widowControl/>
              <w:suppressLineNumbers w:val="0"/>
              <w:jc w:val="both"/>
              <w:textAlignment w:val="center"/>
              <w:rPr>
                <w:rFonts w:hint="eastAsia" w:ascii="宋体" w:hAnsi="宋体" w:eastAsia="宋体" w:cs="宋体"/>
                <w:b/>
                <w:bCs/>
                <w:i w:val="0"/>
                <w:color w:val="000000"/>
                <w:kern w:val="0"/>
                <w:sz w:val="32"/>
                <w:szCs w:val="32"/>
                <w:u w:val="none"/>
                <w:vertAlign w:val="baseline"/>
                <w:lang w:val="en-US" w:eastAsia="zh-CN" w:bidi="ar"/>
              </w:rPr>
            </w:pPr>
          </w:p>
          <w:p>
            <w:pPr>
              <w:pStyle w:val="2"/>
              <w:rPr>
                <w:rFonts w:hint="eastAsia" w:ascii="宋体" w:hAnsi="宋体" w:eastAsia="宋体" w:cs="宋体"/>
                <w:b/>
                <w:bCs/>
                <w:i w:val="0"/>
                <w:color w:val="000000"/>
                <w:kern w:val="0"/>
                <w:sz w:val="32"/>
                <w:szCs w:val="32"/>
                <w:u w:val="none"/>
                <w:vertAlign w:val="baseline"/>
                <w:lang w:val="en-US" w:eastAsia="zh-CN" w:bidi="ar"/>
              </w:rPr>
            </w:pPr>
          </w:p>
          <w:p>
            <w:pPr>
              <w:pStyle w:val="2"/>
              <w:rPr>
                <w:rFonts w:hint="eastAsia" w:ascii="宋体" w:hAnsi="宋体" w:eastAsia="宋体" w:cs="宋体"/>
                <w:b/>
                <w:bCs/>
                <w:i w:val="0"/>
                <w:color w:val="000000"/>
                <w:kern w:val="0"/>
                <w:sz w:val="32"/>
                <w:szCs w:val="32"/>
                <w:u w:val="none"/>
                <w:vertAlign w:val="baseline"/>
                <w:lang w:val="en-US" w:eastAsia="zh-CN" w:bidi="ar"/>
              </w:rPr>
            </w:pPr>
          </w:p>
          <w:p>
            <w:pPr>
              <w:pStyle w:val="2"/>
              <w:rPr>
                <w:rFonts w:hint="eastAsia" w:ascii="宋体" w:hAnsi="宋体" w:eastAsia="宋体" w:cs="宋体"/>
                <w:b/>
                <w:bCs/>
                <w:i w:val="0"/>
                <w:color w:val="000000"/>
                <w:kern w:val="0"/>
                <w:sz w:val="32"/>
                <w:szCs w:val="32"/>
                <w:u w:val="none"/>
                <w:vertAlign w:val="baseline"/>
                <w:lang w:val="en-US" w:eastAsia="zh-CN" w:bidi="ar"/>
              </w:rPr>
            </w:pPr>
          </w:p>
          <w:p>
            <w:pPr>
              <w:pStyle w:val="2"/>
              <w:rPr>
                <w:rFonts w:hint="eastAsia" w:ascii="宋体" w:hAnsi="宋体" w:eastAsia="宋体" w:cs="宋体"/>
                <w:b/>
                <w:bCs/>
                <w:i w:val="0"/>
                <w:color w:val="000000"/>
                <w:kern w:val="0"/>
                <w:sz w:val="32"/>
                <w:szCs w:val="32"/>
                <w:u w:val="none"/>
                <w:vertAlign w:val="baseline"/>
                <w:lang w:val="en-US" w:eastAsia="zh-CN" w:bidi="ar"/>
              </w:rPr>
            </w:pPr>
          </w:p>
          <w:p>
            <w:pPr>
              <w:pStyle w:val="2"/>
              <w:rPr>
                <w:rFonts w:hint="eastAsia" w:ascii="宋体" w:hAnsi="宋体" w:eastAsia="宋体" w:cs="宋体"/>
                <w:b/>
                <w:bCs/>
                <w:i w:val="0"/>
                <w:color w:val="000000"/>
                <w:kern w:val="0"/>
                <w:sz w:val="32"/>
                <w:szCs w:val="32"/>
                <w:u w:val="none"/>
                <w:vertAlign w:val="baseline"/>
                <w:lang w:val="en-US" w:eastAsia="zh-CN" w:bidi="ar"/>
              </w:rPr>
            </w:pPr>
          </w:p>
          <w:p>
            <w:pPr>
              <w:pStyle w:val="2"/>
              <w:rPr>
                <w:rFonts w:hint="eastAsia" w:ascii="宋体" w:hAnsi="宋体" w:eastAsia="宋体" w:cs="宋体"/>
                <w:b/>
                <w:bCs/>
                <w:i w:val="0"/>
                <w:color w:val="000000"/>
                <w:kern w:val="0"/>
                <w:sz w:val="32"/>
                <w:szCs w:val="32"/>
                <w:u w:val="none"/>
                <w:vertAlign w:val="baseline"/>
                <w:lang w:val="en-US" w:eastAsia="zh-CN" w:bidi="ar"/>
              </w:rPr>
            </w:pPr>
          </w:p>
          <w:p>
            <w:pPr>
              <w:pStyle w:val="2"/>
              <w:rPr>
                <w:rFonts w:hint="eastAsia" w:ascii="宋体" w:hAnsi="宋体" w:eastAsia="宋体" w:cs="宋体"/>
                <w:b/>
                <w:bCs/>
                <w:i w:val="0"/>
                <w:color w:val="000000"/>
                <w:kern w:val="0"/>
                <w:sz w:val="32"/>
                <w:szCs w:val="32"/>
                <w:u w:val="none"/>
                <w:vertAlign w:val="baseline"/>
                <w:lang w:val="en-US" w:eastAsia="zh-CN" w:bidi="ar"/>
              </w:rPr>
            </w:pPr>
          </w:p>
          <w:p>
            <w:pPr>
              <w:keepNext w:val="0"/>
              <w:keepLines w:val="0"/>
              <w:widowControl/>
              <w:suppressLineNumbers w:val="0"/>
              <w:jc w:val="both"/>
              <w:textAlignment w:val="center"/>
              <w:rPr>
                <w:rFonts w:hint="eastAsia" w:ascii="宋体" w:hAnsi="宋体" w:eastAsia="宋体" w:cs="宋体"/>
                <w:b/>
                <w:bCs/>
                <w:i w:val="0"/>
                <w:color w:val="000000"/>
                <w:kern w:val="0"/>
                <w:sz w:val="32"/>
                <w:szCs w:val="32"/>
                <w:u w:val="none"/>
                <w:vertAlign w:val="baseline"/>
                <w:lang w:val="en-US" w:eastAsia="zh-CN" w:bidi="ar"/>
              </w:rPr>
            </w:pPr>
            <w:r>
              <w:rPr>
                <w:rFonts w:hint="eastAsia" w:ascii="宋体" w:hAnsi="宋体" w:eastAsia="宋体" w:cs="宋体"/>
                <w:b/>
                <w:bCs/>
                <w:i w:val="0"/>
                <w:color w:val="000000"/>
                <w:kern w:val="0"/>
                <w:sz w:val="32"/>
                <w:szCs w:val="32"/>
                <w:u w:val="none"/>
                <w:vertAlign w:val="baseline"/>
                <w:lang w:val="en-US" w:eastAsia="zh-CN" w:bidi="ar"/>
              </w:rPr>
              <w:t>附件二：</w:t>
            </w:r>
            <w:r>
              <w:rPr>
                <w:rFonts w:hint="eastAsia" w:ascii="宋体" w:hAnsi="宋体" w:cs="宋体"/>
                <w:b/>
                <w:bCs/>
                <w:szCs w:val="21"/>
                <w:lang w:eastAsia="zh-CN"/>
              </w:rPr>
              <w:t>注：本表所列配备数量为</w:t>
            </w:r>
            <w:r>
              <w:rPr>
                <w:rFonts w:hint="eastAsia" w:ascii="宋体" w:hAnsi="宋体" w:cs="宋体"/>
                <w:b/>
                <w:bCs/>
                <w:szCs w:val="21"/>
                <w:lang w:val="en-US" w:eastAsia="zh-CN"/>
              </w:rPr>
              <w:t>3所学校的总数量，供货时每所学校的配备数量为下表所列配备数量除以3。</w:t>
            </w:r>
          </w:p>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小学数学</w:t>
            </w:r>
          </w:p>
        </w:tc>
      </w:tr>
      <w:tr>
        <w:tblPrEx>
          <w:tblCellMar>
            <w:top w:w="0" w:type="dxa"/>
            <w:left w:w="0" w:type="dxa"/>
            <w:bottom w:w="0" w:type="dxa"/>
            <w:right w:w="0" w:type="dxa"/>
          </w:tblCellMar>
        </w:tblPrEx>
        <w:trPr>
          <w:trHeight w:val="285" w:hRule="atLeast"/>
          <w:jc w:val="center"/>
        </w:trPr>
        <w:tc>
          <w:tcPr>
            <w:tcW w:w="616" w:type="dxa"/>
            <w:tcBorders>
              <w:top w:val="single" w:color="auto" w:sz="4" w:space="0"/>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序号</w:t>
            </w:r>
          </w:p>
        </w:tc>
        <w:tc>
          <w:tcPr>
            <w:tcW w:w="940" w:type="dxa"/>
            <w:tcBorders>
              <w:top w:val="single" w:color="000000" w:sz="8" w:space="0"/>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货物名称</w:t>
            </w:r>
          </w:p>
        </w:tc>
        <w:tc>
          <w:tcPr>
            <w:tcW w:w="7556" w:type="dxa"/>
            <w:tcBorders>
              <w:top w:val="single" w:color="000000" w:sz="8" w:space="0"/>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参数要求</w:t>
            </w:r>
          </w:p>
        </w:tc>
        <w:tc>
          <w:tcPr>
            <w:tcW w:w="592" w:type="dxa"/>
            <w:tcBorders>
              <w:top w:val="single" w:color="000000" w:sz="8" w:space="0"/>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单位</w:t>
            </w:r>
          </w:p>
        </w:tc>
        <w:tc>
          <w:tcPr>
            <w:tcW w:w="526" w:type="dxa"/>
            <w:gridSpan w:val="2"/>
            <w:tcBorders>
              <w:top w:val="single" w:color="000000" w:sz="8" w:space="0"/>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配备数量</w:t>
            </w:r>
          </w:p>
        </w:tc>
      </w:tr>
      <w:tr>
        <w:tblPrEx>
          <w:tblCellMar>
            <w:top w:w="0" w:type="dxa"/>
            <w:left w:w="0" w:type="dxa"/>
            <w:bottom w:w="0" w:type="dxa"/>
            <w:right w:w="0" w:type="dxa"/>
          </w:tblCellMar>
        </w:tblPrEx>
        <w:trPr>
          <w:trHeight w:val="328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量角器</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由塑料注塑成型,色泽为黄色。量角器中间位置设有画线工作手把1）外形尺寸：500mm×282mm×10（±2mm；）有效工作尺寸为500mm；3）有效测量角度为0～180；4）手把高度为48mm，长度为116mm，公差±1mm；5）量角器直边印有0～50cm刻线；6）每0.5cm一小格；7）每1cm一中格；8）每5cm一长格，9）顺时针方向和逆时针方向均印有0～180°数字读数值；11）角度分度格线为每1°为一小格；12）每5°为一长格；13）每10°为一长格，并标有以10°为单位和角度读数值。★（提供检验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26" w:type="dxa"/>
            <w:gridSpan w:val="2"/>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1328"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竖式计数器</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 演示用，竖式计数器是由底座、挡板、珠杆、算珠组成，2.底座和挡板采用木制。3.底座尺寸不小于：220×90×60mm；4.竖式计数器为三档，每档有算珠10 个，算珠为空心，直径不小于35mm，厚不小于16mm，算珠中心有一直径6mm 珠孔，算珠在珠杆上应滑动灵活自如，不得有卡死等现象珠杆与底座应衔接牢固，无松脱现象。挡板能挡住10 个算珠；5.珠杆用钢丝制成。摆放平稳，使用方便。木材采用优质环保木料，表面环保油漆涂层精制而成。</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1328"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竖式计数器</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演示用，五档；每档算珠一种颜色，共五色。2.个、十、百、千、万应采用正方形：50mm×50mm，厚4mm的塑料上印刷、共五块，背面带磁铁。3.两杆间距45mm，杆的直径为3.4mm的镀锌铁，表面光滑无划痕；4.每档10个算珠，算珠直径30mm，厚度10mm，为实心塑料材料，在金属杆上滑动灵活；5.杆用螺母和弹簧垫固定在底座上，底座和挡板用2mm的冷轧板加工而成，表面烤漆处理，底座高度50mm，长度240mm；宽度100mm；挡板高度155mm.各部分之间连接牢固，不脱落和松动。</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1065"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钉板</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演示用，采用胶合板，两用，规格不小于590mm×390mm×10mm，框架边缘应采用铝合金包边，配彩色橡皮筋，板面图案采用喷绘制作，表面覆光膜，板面上应绘有等分方格160块，在方格的每一交点处嵌有铜钉，铜钉均等高，钉头应比钉身大，防止橡皮筋滑落，用橡皮筋可在钉板上直观地围成几何图形。钉板背面应可供粉笔书写。产品符合JY0344-94《钉板》的要求.</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803"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口算练习器</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由1块塑料盘、2片PVC圆盘、2片PVC方片及螺丝、螺帽组成。尺寸不小于：塑料盘Φ240mm，厚度2mm，中间孔Φ4mm，中间孔两端有两个40mm*30mm的长方形孔。1片PVC圆盘Φ225mm，另一片PVC圆盘Φ165mm，圆孔Φ3mm，印有0～9数字符号，带手柄；PVC方片为红色，45mm×10mm.中间小孔Φ4mm。</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w:t>
            </w:r>
          </w:p>
        </w:tc>
        <w:tc>
          <w:tcPr>
            <w:tcW w:w="94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小学低年级数学磁性教具</w:t>
            </w: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仪器主要包含有：</w:t>
            </w:r>
          </w:p>
        </w:tc>
        <w:tc>
          <w:tcPr>
            <w:tcW w:w="592"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1.由背景图及各种图板组成。背景图共11张。</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2.各种图板应带有磁性，图板分为数字及运算符号图板、实物图板、计量单位图板。</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3.数字及运算符号应至少包括2套0~9数字＋、－、×、÷，括号〈〉、=号。</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4.实物图板应包括小棒红黄两色各10根，10根小棒、100小棒、圆形红黄两色各10块。</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5.计量单位符号应包括米、分米、厘米、克、千克、时、分、秒、元、角各2个。</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6.各形几何图形及符号色彩鲜艳，附着牢靠，不易脱落。</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7.磁件吸附钢制黑板必须牢靠，不滑落。</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540"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8.手提式塑料箱包装，采用优质ABS材料制作,尺寸490mm*390mm*80mm，各配件应装入相应的定位盒框中。</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w:t>
            </w:r>
          </w:p>
        </w:tc>
        <w:tc>
          <w:tcPr>
            <w:tcW w:w="94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小学中年级数学磁性教具</w:t>
            </w: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仪器主要包含有：</w:t>
            </w:r>
          </w:p>
        </w:tc>
        <w:tc>
          <w:tcPr>
            <w:tcW w:w="592"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1.由背景图及各种图板组成。背景图共7张。</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2.各种图板应带有铁性，图板分为数字及运算符号图板、实物图板、计量单位图板。</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540"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3.数字及运算符号应至少包括3套0~9数字＋、－、×、÷，括号〈〉、（）、[]、≈、=号及小数点符号。</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803"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实物图板应包括小棒红黄两色各10种、小数点、圆形卡片红黄两色各10块、方形卡片、苹果、飞机、大客车、小轿车、货车、摩托车、自行车、男孩、女孩、黑兔白兔各6个、角度演示器、直尺、分数图板、几何图板12种等。</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5.计量单位符号应包括米、分米、厘米、毫米、吨、千克、克、万、亿、X各2个。</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6.各形几何图形及符号色彩鲜艳，附着牢靠，不易脱落。</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7.磁件吸附钢制黑板必须牢靠，不滑落。</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540"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8.手提式塑料盒包装，采用优质ABS材料制作,尺寸490mm*390mm*80mm，各配件应装入相应的定位盒框中。</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w:t>
            </w:r>
          </w:p>
        </w:tc>
        <w:tc>
          <w:tcPr>
            <w:tcW w:w="94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小学高年级数学磁性教具</w:t>
            </w: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仪器主要包含有：</w:t>
            </w:r>
          </w:p>
        </w:tc>
        <w:tc>
          <w:tcPr>
            <w:tcW w:w="592"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1.由背景图入各种图板组成。背景图共8张。</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2.各种图板应带有磁性，图板分为数字及运算符号图板、实物图板、符号图板。</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540"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3..数字及运算符号应至少包括2套0~9数字＋、－、×、÷，括号〈〉、≈、=号及小数点符号、省略号、冒号。</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803"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实物图板应包括小棒红黄两色各10种、小数点、圆形卡片红黄两色各10块、方形卡片、苹果、飞机、大客车、小轿车、货车、摩托车、自行车、男孩、女孩、黑兔白兔各6个、角度演示器、直尺、几何图板20种等。</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5.符号图板应包括a、b、c、d、S、V、h、r、x、%、π各2个。</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6.各形几何图形符号色彩鲜艳，附着牢靠，不易脱。</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7.磁件吸附钢制黑板必须牢靠，不滑落。</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540"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8.手提式塑料箱包装，采用优质ABS材料制作,尺寸490mm*390mm*80mm，各配件应装入相应的定位盒框中。</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803"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9</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钟表模型</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学数学教学中对“时、分”的认识、读法及加减演示用。表盘和盘底采用工程塑料一次性注塑而成，为二针非联动，表盘直径为：250mm，表盘安有时针和分针，表盘采用丝网印刷印有1到12小时制标记，并印有整点标记和分钟标记。产品符合JY0061-1991《钟面模型》的有关规定。</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1065"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10</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钟表模型</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学数学教学中对“时、分”的认识、读法及加减演示用。表盘和盘底采用工程塑料一次性注塑而成，为三针联动，表盘直径为：250mm，表盘安有时针和分针及秒针，表盘采用丝网印刷印有1到12小时制标记，并印有整点标记和分钟标记，表盘背面装有联动装置，带有手拨轮。产品符合JY0061-1991《钟面模型》的有关规定。</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1065"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11</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钟表模型</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学数学教学中对“时、分”的认识、读法及加减演示用。表盘和盘底采用工程塑料一次性注塑而成，为三针联动，表盘直径为：250mm，表盘安有时针和分针及秒针，表盘采用丝网印刷印有1到12小时制标记，下方印有13到24小时制标记，并印有整点标记和分钟标记，表盘背面装有联动装置，带有手拨轮。产品符合JY0061-1991《钟面模型》的有关规定。</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1328"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12</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圆面积、圆周率计算公式推导演示模型</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全塑料制、座式。产品由演示板、32等分的扇形块及圆轮2个组成。1、演示板上应有直径200mm的凹槽和宽103mm的长方槽，在长方槽下方应有演示圆周率的齿条和相应的刻线，刻线应清晰、准确。演示板外形尺寸不小于480mm×229mm×8mm。2、扇形块为32等分，拼接后的圆直径为200mm，厚度不小于7mm，扇形块分为两个半圆，两半圆之间用带连接。3、圆轮直径分别为100mm和80mm，厚度分别为4mm和3mm，外圈带齿，并与演示板齿条配套，圆轮上均印刷指示标志（箭头线）。</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720" w:hRule="atLeast"/>
          <w:jc w:val="center"/>
        </w:trPr>
        <w:tc>
          <w:tcPr>
            <w:tcW w:w="10214" w:type="dxa"/>
            <w:gridSpan w:val="5"/>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小学科学</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序号</w:t>
            </w:r>
          </w:p>
        </w:tc>
        <w:tc>
          <w:tcPr>
            <w:tcW w:w="940" w:type="dxa"/>
            <w:tcBorders>
              <w:top w:val="single" w:color="000000" w:sz="8" w:space="0"/>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货物</w:t>
            </w:r>
          </w:p>
        </w:tc>
        <w:tc>
          <w:tcPr>
            <w:tcW w:w="7556" w:type="dxa"/>
            <w:vMerge w:val="restart"/>
            <w:tcBorders>
              <w:top w:val="single" w:color="000000" w:sz="8" w:space="0"/>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参数要求</w:t>
            </w:r>
          </w:p>
        </w:tc>
        <w:tc>
          <w:tcPr>
            <w:tcW w:w="592" w:type="dxa"/>
            <w:vMerge w:val="restart"/>
            <w:tcBorders>
              <w:top w:val="single" w:color="000000" w:sz="8" w:space="0"/>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单位</w:t>
            </w:r>
          </w:p>
        </w:tc>
        <w:tc>
          <w:tcPr>
            <w:tcW w:w="510" w:type="dxa"/>
            <w:vMerge w:val="restart"/>
            <w:tcBorders>
              <w:top w:val="single" w:color="000000" w:sz="8" w:space="0"/>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数量</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名称</w:t>
            </w:r>
          </w:p>
        </w:tc>
        <w:tc>
          <w:tcPr>
            <w:tcW w:w="7556" w:type="dxa"/>
            <w:vMerge w:val="continue"/>
            <w:tcBorders>
              <w:top w:val="single" w:color="000000" w:sz="8" w:space="0"/>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92" w:type="dxa"/>
            <w:vMerge w:val="continue"/>
            <w:tcBorders>
              <w:top w:val="single" w:color="000000" w:sz="8" w:space="0"/>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single" w:color="000000" w:sz="8" w:space="0"/>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540"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94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打孔器</w:t>
            </w: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产品由四支不同孔径带手柄的空芯钻头、顶屑杆（通条）组成。空芯管：a）每支空芯管长度为100mmb）管外径分别为6mm,8mm,10mm公差±0.1mm。</w:t>
            </w:r>
          </w:p>
        </w:tc>
        <w:tc>
          <w:tcPr>
            <w:tcW w:w="592"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540"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钻头：用无缝钢管制成；直线度0.05mm；刀口表面镀铬；刀刃无缺口或锯齿状；刀刃平面与手柄平行，并与钻头轴线垂直；刀刃平面与轴线的垂直度0.16mm；顶屑杆：直径3.5mm长105mm</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94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生物显微镜</w:t>
            </w: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1.机型以金属为主，总放大倍数50X-500X</w:t>
            </w:r>
          </w:p>
        </w:tc>
        <w:tc>
          <w:tcPr>
            <w:tcW w:w="592"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台</w:t>
            </w:r>
          </w:p>
        </w:tc>
        <w:tc>
          <w:tcPr>
            <w:tcW w:w="51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2.目镜筒（金属材质）：单目斜筒式，可作360度旋转</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3.目镜：惠更斯12.5X；消色差物镜：4X、10X、40X；</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4.转换器：三孔转换器；调焦机构：粗微调不同轴，粗调：18mm,微调：1.8mm</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540"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5.载物台：固定单层方平台，面积：118mm×108mm，带单透镜聚光镜（NA.0.65），拨盘光栏；移动尺调节范围：横向0～55mm,纵向0～30mm；照明：电照明装置（220V，20W），带集光镜。</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94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酒精喷灯</w:t>
            </w: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座式</w:t>
            </w:r>
          </w:p>
        </w:tc>
        <w:tc>
          <w:tcPr>
            <w:tcW w:w="592"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1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1.用黄铜制成。</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2.密闭无渗漏。</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3.仪器由灯壶、灯管、空气调节器、预热盘、加料口等部分组成。</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540"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4.空气调节器可使调节片可靠稳定于调节范围内的任意位置，能自如地调节空气进量而调节火焰大小。</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540"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5.壸体装酒精容积250mL。喷管与各管焊接牢固，喷火燃烧而熔化焊接，无漏气。火苗调节杆柄在调节火苗时不变形。调节手轮不得因工作时焦熔。</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6.仪器的性能、安全、结构及外观的一般要求分别符合JY0001标准的第4、5、6、7章的有关要求。</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7.标志、说明书、包装、运输、贮存等符合JY0001-2003的有关规定。</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540"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94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百叶箱支架</w:t>
            </w: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1.由支架座、、支架条（长35.5cm，2根）、支架条（长49cm，2根）及直角支架条（长100cm，4根）组成。</w:t>
            </w:r>
          </w:p>
        </w:tc>
        <w:tc>
          <w:tcPr>
            <w:tcW w:w="592"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1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2.支架与支撑杆之间用螺丝固定（可拆卸）。</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3.标志、说明书、包装、运输、贮存符合JY0001-2003的有关规定。</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94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百叶箱</w:t>
            </w: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1.箱体内尺寸约510mm×255mm×380mm</w:t>
            </w:r>
          </w:p>
        </w:tc>
        <w:tc>
          <w:tcPr>
            <w:tcW w:w="592"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1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2.选用松木并经干燥脱脂处理，百叶箱叶面向下，每面有17片叶面。</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3.箱内外涂白色漆，箱体榫接成形，牢固，无变形。</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4.百叶箱顶盖为横竖两层木板镶合而成，规格：488×405×18mm，以保护箱内仪器免受损害。</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5.标志、说明书、包装、运输、贮存符合JY0001-2003的有关规定。</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1371"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教学电源</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输出电压：交流输出，2－12V，每2V一挡；共六档；额定输出电流：5A；直流稳压输出，1.5V－12V，分1.5V、3V、4.5V、6V、9V、12V六档；额定输出电流：2A；直流大电流短时输出：40A，8秒自动关断。2.交流输出：a.各档空载电压应不大于1.1 U标＋0.3V；b.各档满载电压应不小于0.9 U标－0.3V。3.直流稳压输出：a.电压偏调：±（2％U标＋0.1V）；b.电压稳定性：输入电压在198V－242V件变化，在满载时各档输出电压变化量不大于2％U标＋0.1V；c.负载稳定性：输入电压保持220V不变，负载电流在0至满载范围内变化，各档输出电压变化量不大于2％U标＋0.1V；d.纹波电压：电源电压保持220V，满载时各档纹波电压不大于0.1％U标（有效值。4.直流大电流短时输出电流大于10A时，20s±2s自动关断。输出短时电流为40A+10A，8 s±2自动关断。5.过载保护：a.电源的交流输出和直流输出电流等于或小于其额定输出电流时，电源应正常工作，当输出电流在额定输出电流值的1.1－1.6倍时，电源能过载保护。b.各档输出电路短路时应能自动关断。 6.连续工作时间不少于8h。7.其他应符合JY0361-1991教学电源等有关标准条款的规定。8.标志、说明书、包装、运输、贮存等应符合JY0001-2003的有关规定。</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台</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9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体重计</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由金属底座、脚踏面、刻度盘、调零旋钮等构成，含测体高装置；2、体重计回零误差不大小1/2分度；3、体重计任一点的平均示差不大小1个分度；4、脚踏面和底座用厚度不小于2mm的金属板制成，稳定、牢靠，无变形现象；5、脚踏面上的观察面用有机玻璃制成，透明度良好，应能清楚的观察到刻度盘上的任一数字和刻度；6、刻度盘标有0～120kg的字迹和相应的刻度线，刻度线及字迹应清晰、均匀、工整；7、调零旋钮运用灵活，无卡滞现象；8、体重计的使用寿命不少于10000次；9、性能、结构、外观应符合JY0001－2003《教学仪器设备产品一般质量要求》第4、6、7章的有关要求。</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台</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1065"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eastAsia="zh-CN"/>
              </w:rPr>
            </w:pPr>
            <w:r>
              <w:rPr>
                <w:rFonts w:hint="eastAsia" w:ascii="宋体" w:hAnsi="宋体" w:eastAsia="宋体" w:cs="宋体"/>
                <w:i w:val="0"/>
                <w:color w:val="000000"/>
                <w:sz w:val="21"/>
                <w:szCs w:val="21"/>
                <w:u w:val="none"/>
                <w:lang w:val="en-US" w:eastAsia="zh-CN"/>
              </w:rPr>
              <w:t>8</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温度计</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感温物质：水银。2.测量范围：0℃～100℃；最小分度值：1℃；允许误差±1℃。3.玻璃光洁透明，无裂痕。毛细管无明显的弯曲现象，其孔径均匀，管壁内清洁无杂质。4.感温液体（水银）纯洁、无杂质。液线无中断现象。上升时无停滞和跳跃现象；下降时未曾在管壁上留下液滴。5.产品符合《玻璃仪器通用技术要求》6.标志、说明书、包装、运输、贮存符合JY0001-2003的有关规定。</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支</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54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9</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最高温度表</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1、测量范围：-16℃~+81℃；2、最小分度值：0.5℃；3、配安装支架，安装牢固；4、符合JY0001－2003《教学仪器设备产品一般质量要求》的有关规定；5、产品应符合《玻璃仪器通用技术要求》</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支</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54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10</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最低温度表</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1、测量范围：-52℃~+41℃，测量误差±1℃；2、配安装支架，安装牢固；3、符合JY0001－2003《教学仪器设备产品一般质量要求》的有关规定；4、产品应符合《玻璃仪器通用技术要求》</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支</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803"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11</w:t>
            </w:r>
          </w:p>
        </w:tc>
        <w:tc>
          <w:tcPr>
            <w:tcW w:w="94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寒暑表</w:t>
            </w: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由木质材料镶嵌玻璃棒芯组成。采用摄氏（℃）和华氏（℉）木板双刻度，面板标有：摄氏 -30℃—50℃；华氏 -20℃—120℃的标志。玻璃棒芯感温液，正面放大玻璃液读数。温度准确度：±1℃（0℃～30℃）。最小分度值：1℃</w:t>
            </w:r>
          </w:p>
        </w:tc>
        <w:tc>
          <w:tcPr>
            <w:tcW w:w="592"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只</w:t>
            </w:r>
          </w:p>
        </w:tc>
        <w:tc>
          <w:tcPr>
            <w:tcW w:w="51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尺寸：不小于250mm×49mm×9mm。</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1065"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12</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多用电表</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1、准确度等级：直流电压、电流2.5级；交流电压、电流5.0级；电阻：2.5级；2、灵敏度：直流≥20KΩ/V，交流≥9KΩ/V；                                                                                                     3、仪器的性能、安全、结构及外观的一般要求应分别符合JY 0001-2003的有关要求；                                                            4、要符合技术标准的要求JY 0330-1993《教学用指针式电表》。</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803"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13</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湿度计</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为指针式，整体仪盘直径不小于Φ125mm，仪表盘上印有湿度标识。湿度范围：0%RH - 100%RH，最小标识：2%RH。测量误差：30-90%RH时＜7%。工作湿度：-10℃—+50℃ 。可部分参考QX/T27《毛发湿度计》标准执行。</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14</w:t>
            </w:r>
          </w:p>
        </w:tc>
        <w:tc>
          <w:tcPr>
            <w:tcW w:w="94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雨量器</w:t>
            </w: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1.主要由底座、筒体、承水器、专用量杯（500ml）三大部分组成。</w:t>
            </w:r>
          </w:p>
        </w:tc>
        <w:tc>
          <w:tcPr>
            <w:tcW w:w="592"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2.承水器口径为200±1mm；筒体直径200mm，长630±5mm。</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3.标志、说明书、包装、运输、贮存符合JY0001-2003的有关规定。</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803"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15</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风杯式风速表</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有直读装置。可测量瞬时风速、平均风速、瞬时风级、平均风级、显示对应浪高。风速测量范围：0m/s～30m/s。 风速传感器启动风速：0.8m/s，风速测量精度：±（0.3+0.03×V）m/s(V 实际风速）。显示分辨率：0.1/s(风速）、1级（风级）。</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64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16</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三球仪</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产品为组合式，由太阳模型1个、地球模型1个、月球模型1个、四季盘1个、月相仪1个、回转组件1件、推柄1个组成；2、太阳模型塑料制成，直径80mm±2mm，正面表明月相的位置和地球上的昼夜；3、地球模型直径41mm±1mm,上面能观察到七大洲、四大洋、南北极圈、南北回归线、赤道和国际日期变更线；4、月球模型：白色塑料制成，直径10mm±0.5mm，与支杆配合无松动、脱落；5、四季盘：塑料制成，直径不小于200mm，正面印有春、夏、秋、冬四季、二十四个节气名称、次序和日期；6、月相盘有效尺寸不小于110mm，正面表明月相的位置和地球上的昼夜。回转组件：由六个26牙齿轮组、2个13牙齿轮组组成，26牙齿轮组直径：55mm±0.5mm，13牙齿轮组直径：30mm±0.5mm；7、推柄由塑料制成，与中心管连接组装后，启动推柄使回转组件均匀转动；8、单台产品净重大于840克。塑料产品选用ABS，及聚丙稀全新塑料注塑而成，无毒、环保、性能好；9、符合JY0001－2003《教学仪器设备产品一般质量要求》的有关规定。</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台</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54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17</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条形磁铁</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D-CG-LT-180 型， 磁铁的外形尺寸为180mm×20.5mm×10mm。表面磁感应强度70mT。有极性标注，红色为N极，兰色为S极，N、S字母颜色为白色。</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54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18</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蹄形磁铁</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D-CG-LU-80，蹄型。表面磁感应强度70mT。有极性标注，红色为N极，兰色为S极，N、S字母颜色为白色。</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19</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电磁铁</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演示用方形塑料盒，带指南针</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1853"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20</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儿童骨骼模型</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产品为男性儿童骨骼模型，串制成正常直立姿势于支架上；2、产品规格：高度≥80cm。材质采用PVC材料；3、颅盖横切，颞下颌关节可活动。骨缝清晰，孔、管、沟、裂正确自然；4、脊柱由7块颈椎、12块胸椎、5块腰椎、1块骶骨、1块尾骨和椎间盘组成，椎骨和椎间盘的结构准确，4个生理弯曲的位置、形态正确，第一颈椎、第二胸椎前缘、第十二胸椎前缘和骶胛应在同一垂直线上；5、胸廓由1块胸骨、12对肋骨与12对胸椎及椎间盘连接构成。形态正确；6、上肢骨肩关节可拆装，肩、肘、腕等关节可自由活动；7、下肢骨髂关节可拆装，髂、膝、踝等关节可活动；8、金属连接件应作防锈处理。装拆方便；9、符合JY0001－2003《教学仪器设备产品一般质量要求》的有关规定。</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台</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1328"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21</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儿童牙列模型</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 模型取正常儿童男性牙齿的上颌和下颌部分，用蛇形管连接，可自由张开、闭合，并附牙刷。上颌和下颌由玻璃纤维增强硬塑料制成，规格：上颌部分：不小于160mm×130mm×60mm 下颌部分：不小于160mm×130mm×55mm蛇形管由金属材料制成，外表面镀铬处理，可使上下颌闭合、张开。模型上下颌的牙齿形状、大小、排列顺序应符合儿童的生理特点。产品应符合JY0354-1999《牙列解剖模型》的有关规定。</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台</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903"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22</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少年人体半身模型</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产品规格：高≥65cm。材质采用PVC材料；2、头部做正中矢状切，剥离右侧头面部部分软组织，示部分颅骨、肌肉，眼球固定于眼眶内；3、示口腔、鼻腔、咽腔、食管、喉腔和气管的纵切面和通道关系。示右侧腮腺；4、胸腔内示：心脏（可拆下，示心脏及连通心脏的主要动静脉）、两肺（前半部分可拆下，示肺门结构。右肺示内部血管及支气管分布，左肺示其断面结构）、气管、支气管、食管与胸主动脉（贴于胸腔后壁）；5、膈能拆下，示膈穹隆，示呼气状态的特点；6、腹腔内示：肝、胃、肠、胰和脾（可分别拆下），腹后壁示肌肉、左右肾及肾上腺、输尿管等结构。胃示外形，十二指肠、胰、脾相连，胰做剖面示胰腺导管，除去十二指肠前壁示胰管及胆总管开口于十二指肠大乳头，肠示空肠、回肠、盲肠、结肠、直肠，盲肠末端示阑尾，结肠示结肠带和肠脂垂，肝示外形和肝门结构：左右肝管、肝总管、胆囊管及胆囊；7、盆腔内示：膀胱、直肠末端；8、各器官的形态、结构、位置、毗邻关系应正确；9、金属连接件应防锈处理，装拆方便；10、符合JY0001－2003《教学仪器设备产品一般质量要求》的有关规定。</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台</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159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23</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眼构造模型</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材质应选用环保无毒材料制作，表面喷环保漆，放大6倍之成人眼球模型、底座、升降支杠组成，可拆分，眼球模型与底座均采用塑料注塑成型，眼球模型前后径约为140mm，眼球略似球形，直径150mm，前部示透明角膜，虹膜，瞳孔，后部示视神经。眼球壁通过眼球前后极做正中水平切、角膜，虹膜，瞳孔均可拆装。眼球肌示上直肌、下直肌、内直肌、外直肌、上斜肌、下斜肌、眼血管、视神经等。升降支杠采用金属材料，小支杆直径6mm，长度80mm，大支杆直径12mm，长度90mm。底座规格165mm×165mm×15mm，底座中心支杆插槽座为直径15mm，高度为38mm。</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台</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115"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24</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啄木鸟仿真模型</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识别功能：啄木鸟为白腹黑啄木鸟，体长约210mm左右，前额、头顶、枕部为红色，头顶和枕部的羽毛伸长，形成一个长长的红色羽冠，颚纹也是红色，其余头、颈、胸和上体均为黑色。眼睛用直径约9mm的仿真玻璃仪眼做成，瞳孔为圆形黑色，底色为黄色。嘴长约32mm左右。标本工艺台座总高度约20mm，尺寸为约145mm×115mm×13mm；底层正面中间镶有约110mm×80mm×9mm的仿真玉石板，比底层正平面微凸约4mm。啄木鸟以啄食的肢势固定于高分子制作的仿真透明根雕上，仿真树枝高约为170mm左右，最大直径约35mm左右。台座底部安装开关按钮，可控制安装在透明根雕内的红色发光二极管闪烁发光。台座底部四角安装高仿真水晶玻璃义眼作为台座垫脚，高仿真水晶玻璃义眼直径约20mm左右。</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1571"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25</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猫头鹰仿真模型</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识别功能：眼周的羽毛呈辐射状，细羽的排列形成脸盘，它周身羽毛大多为褐色，散缀细斑，稠密而松软，面形似猫头大而宽，嘴短，侧扁而强壮，先端钩曲，嘴基没有蜡膜，而且多被硬羽所掩盖，头部正面的羽毛排列成面盘。体长160mm左右，眼睛用直径9mm的仿真玻璃仪眼做成，瞳孔为圆形黑色，底色为黄色。背部羽毛、翅膀、腿部和尾部颜色为褐灰色，腹部为乳白色。标本水晶工艺台座总高度20mm，底层为光面深褐色塑化水晶玻璃材料，双层弧形，尺寸为145mm×115mm×13mm；底层正面中间镶有110mm×80mm×9mm的仿真玉石板，比底层正平面微凸4mm。树根雕采用进口半透明塑化水晶玻璃材料制作自然艺术造型树根雕，根雕固定于仿真木纹塑化板上。台座底部安装开关按钮，可控制安装在水晶根雕内的红色发光二极管闪烁发光。台座底部四角安装各种颜色的高仿真水晶玻璃义眼作为台座垫脚，高仿真食草类玻璃义眼，瞳孔为横向造型，直径20mm左右。</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1328"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26</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地球构造模型</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球体通过地轴连接在底座上可以自由转动，并能停止在任一位置；静止或转动时整个产品都有足够的稳定度；球体圆度符合相关的要求，地轴的倾角为66.5°，并垂直与赤道面；图形采用地图出版社新版的地球仪图片；球体不出现多处裂纹（不的大于5处），其裂纹长度不大于5mm；球体表面没有裂纹、皱纹、气泡和脱落；球体作防潮处理，表面涂清漆。★（提供检验机构出具的检测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27</w:t>
            </w:r>
          </w:p>
        </w:tc>
        <w:tc>
          <w:tcPr>
            <w:tcW w:w="94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平面政区地球仪</w:t>
            </w: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 产品由球体和支架等组成。</w:t>
            </w:r>
          </w:p>
        </w:tc>
        <w:tc>
          <w:tcPr>
            <w:tcW w:w="592"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1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 平面比例尺1/40000000。</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 球体通过地轴连接在支架上可以自由转动，并能停止在任一位置。</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 球体为正圆形，地轴的倾角为66.5°，并垂直于赤道面。</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 球体要做防潮处理，表面涂清漆。表面不会有裂纹、皱纹、气泡和脱落。</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 教学演示效果明显。</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 符合JY58－80《地球仪技术条件》的有关规定。</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 符合JY0001－2003《教学仪器一般质量要求》的有关规定。</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28</w:t>
            </w:r>
          </w:p>
        </w:tc>
        <w:tc>
          <w:tcPr>
            <w:tcW w:w="94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平面地形地球仪</w:t>
            </w: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 产品由球体和支架等组成。</w:t>
            </w:r>
          </w:p>
        </w:tc>
        <w:tc>
          <w:tcPr>
            <w:tcW w:w="592"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1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 球体直径为320±5mm,平面比例尺1/40000000</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 球体通过地轴连接在支架上可以自由转动，并能停止在任一位置。</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 球体为正圆形，地轴的倾角为66.5°，并垂直于赤道面。</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 球体要做防潮处理，表面涂清漆。表面不得有裂纹、皱纹、气泡和脱落。</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 教学演示效果明显。</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 符合JY58－80《地球仪技术条件》的有关规定。</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540"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 符合JY0001－2003《教学仪器设备产品一般质量要求》的有关规定。★（提供检验机构出具的检验报告复印件加盖公章，检验报告封面需带二维码认证鉴别真伪并与投标产品名称一致）</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656"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29</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月相变化演示器</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外框规格：不小于780mm×540mm。材质为铝合金；2、面板绘制出太阳光线与地球，以及月球相对太阳光线与地球的8个典型位置，镂空8个典型月相有显示窗口，标注月相名称和对应的农历日期；3、上下盘对齐并铆合，可灵活转动；4、演示内容符合教学要求，色彩柔和，字迹和线条清晰，标记醒目；5、产品结构牢固，表面光洁；6、符合JY0001－2003《教学仪器设备产品一般质量要求》的有关规定。</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件</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30</w:t>
            </w:r>
          </w:p>
        </w:tc>
        <w:tc>
          <w:tcPr>
            <w:tcW w:w="94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标本套装</w:t>
            </w: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蟾蜍标本：选用大型蟾蜍制作，整体尺寸不小于75*75*30（±1mm）</w:t>
            </w:r>
          </w:p>
        </w:tc>
        <w:tc>
          <w:tcPr>
            <w:tcW w:w="592"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1、蟾蜍形体完整，姿态自然。</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803"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用树脂材料对蟾蜍进行固定和渗入，形成稳定和保持标本材料的树脂结构，包埋材料重金属及有害化学物质含量按照国家有关玩具安全标准，表面打磨抛光平整透明，边角平滑美观。无影响观察的气泡、割痕、伤痕。晶体应无色透明，无影响观察标本的各种缺陷。</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 xml:space="preserve">河蚌标本：选用河蚌制作，整体尺寸不小于75*75*30 （±1mm）   </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1、河蚌形体完整，姿态自然。</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803"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用树脂材料对河蚌进行固定和渗入，形成稳定和保持标本材料的树脂结构。包埋材料重金属及有害化学物质含量按照国家有关玩具安全标准，表面打磨抛光平整透明，边角平滑美观。无影响观察的气泡、割痕、伤痕。晶体应无色透明，无影响观察标本的各种缺陷。</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爬行动物（水蛇）标本：选用蛇或蜥蜴制作，整体尺寸不小于140x64x20</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1、蛇或蜥蜴形体完整，姿态自然。</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803"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用树脂材料对蛇或蜥蜴进行固定和渗入，形成稳定和保持标本材料的树脂结构。包埋材料重金属及有害化学物质含量按照国家有关玩具安全标准，表面打磨抛光平整透明，边角平滑美观。无影响观察的气泡、割痕、伤痕。晶体应无色透明，无影响观察标本的各种缺陷。</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六害标本</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六益标本</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106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蛙发育顺序标本：1、整体尺寸不小于：140*64*18mm（误差±2mm）。2.标本应由蛙的8个发育期组成，④～⑧期形体完整，姿态自然。无明显干瘪发黑现象。用树脂材料进行固定和渗入包埋材料重金属及有害化学物质含量按照国家有关玩具安全标准，表面打磨抛光平整透明，边角平滑美观。无影响观察的气泡、割痕、伤痕。晶体应无色透明，无影响观察标本的各种缺陷。</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桑蚕生活史标本：整体尺寸不小于 ：163*80*22（±1mm）</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1、由卵、蚁蚕至四龄幼虫、蛹、雌雄成虫及茧组成，附蚕丝、丝绸及桑叶。按生活史顺序排列。</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803"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用树脂材料对桑蚕各阶段昆虫和其他标本材料进行固定和渗入，形成稳定和保持标本材料的树脂结构。包埋材料重金属及有害化学物质含量按照国家有关玩具安全标准，表面打磨抛光平整透明，边角平滑美观。无影响观察的气泡、割痕、伤痕。晶体应无色透明，无影响观察标本的各种缺陷。</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种子传播方式标本：整体尺寸不小于 ：163*80*22（±1mm）</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1、应由四种不同的植物种子组成，代表四种不同的种子传播方式。</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551"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用树脂材料对植物种子进行固定和渗入，形成稳定和保持标本材料的树脂结构，包埋材料重金属及有害化学物质含量按照国家有关玩具安全标准，表面打磨抛光平整透明，边角平滑美观。无影响观察的气泡、割痕、伤痕。晶体应无色透明，无影响观察标本的各种缺陷。</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54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31</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中国政区地图</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适用于按照《义务教育课程标准实验教科书数学》编写的并经国家教材审定通过的各种版本的小学数学教材。全开；不少于128克铜版纸</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张</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54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32</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中国地形地图</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适用于按照《义务教育课程标准实验教科书数学》编写的并经国家教材审定通过的各种版本的小学数学教材。全开；不少于128克铜版纸</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张</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54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33</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小学科学安全操作挂图</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用于按照《义务教育课程标准实验教科书数学》编写的并经国家教材审定通过的各种版本的小学数学教材。对开；不少于128克铜版纸</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54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34</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植物分类图谱</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16开，彩色印刷，★提供省级或省级以上相关检测部门出具的产品检测报告原件或加盖生产厂家公章的复印件。</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54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35</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动物分类图谱</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16开，彩色印刷，★提供省级或省级以上相关检测部门出具的产品检测报告原件或加盖生产厂家公章的复印件。</w:t>
            </w:r>
            <w:r>
              <w:rPr>
                <w:rFonts w:hint="eastAsia" w:ascii="宋体" w:hAnsi="宋体" w:eastAsia="宋体" w:cs="宋体"/>
                <w:b/>
                <w:bCs w:val="0"/>
                <w:i w:val="0"/>
                <w:color w:val="auto"/>
                <w:kern w:val="0"/>
                <w:sz w:val="21"/>
                <w:szCs w:val="21"/>
                <w:highlight w:val="none"/>
                <w:u w:val="none"/>
                <w:lang w:val="en-US" w:eastAsia="zh-CN" w:bidi="ar"/>
              </w:rPr>
              <w:t>（</w:t>
            </w:r>
            <w:r>
              <w:rPr>
                <w:rFonts w:hint="eastAsia" w:ascii="宋体" w:hAnsi="宋体" w:eastAsia="宋体" w:cs="宋体"/>
                <w:b/>
                <w:bCs/>
                <w:color w:val="auto"/>
                <w:kern w:val="0"/>
                <w:szCs w:val="21"/>
              </w:rPr>
              <w:t>投标文件商务、技术证明文件正本中提供复印件加盖</w:t>
            </w:r>
            <w:r>
              <w:rPr>
                <w:rFonts w:hint="eastAsia" w:ascii="宋体" w:hAnsi="宋体" w:eastAsia="宋体" w:cs="宋体"/>
                <w:b/>
                <w:bCs/>
                <w:color w:val="auto"/>
                <w:kern w:val="0"/>
                <w:szCs w:val="21"/>
                <w:lang w:eastAsia="zh-CN"/>
              </w:rPr>
              <w:t>生产厂家</w:t>
            </w:r>
            <w:r>
              <w:rPr>
                <w:rFonts w:hint="eastAsia" w:ascii="宋体" w:hAnsi="宋体" w:eastAsia="宋体" w:cs="宋体"/>
                <w:b/>
                <w:bCs/>
                <w:color w:val="auto"/>
                <w:kern w:val="0"/>
                <w:szCs w:val="21"/>
              </w:rPr>
              <w:t>公章，副本中可为正本的复印件</w:t>
            </w:r>
            <w:r>
              <w:rPr>
                <w:rFonts w:hint="eastAsia" w:ascii="宋体" w:hAnsi="宋体" w:eastAsia="宋体" w:cs="宋体"/>
                <w:b/>
                <w:bCs/>
                <w:color w:val="auto"/>
                <w:szCs w:val="21"/>
              </w:rPr>
              <w:t>）</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54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36</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小学科学教学素材库</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符合新课标要求，教学光盘，内容丰富。</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54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37</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小学科学实验教学指导书</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根据现行教材</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540"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38</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小学科学实验仪器手册</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根据现行教材</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套</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39</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钢手锯</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木柄</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restart"/>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40</w:t>
            </w:r>
          </w:p>
        </w:tc>
        <w:tc>
          <w:tcPr>
            <w:tcW w:w="94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手锤</w:t>
            </w:r>
          </w:p>
        </w:tc>
        <w:tc>
          <w:tcPr>
            <w:tcW w:w="7556" w:type="dxa"/>
            <w:tcBorders>
              <w:top w:val="nil"/>
              <w:left w:val="nil"/>
              <w:bottom w:val="nil"/>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1、锤头为圆头，无毛刺，手柄光滑。</w:t>
            </w:r>
          </w:p>
        </w:tc>
        <w:tc>
          <w:tcPr>
            <w:tcW w:w="592"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10" w:type="dxa"/>
            <w:vMerge w:val="restart"/>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vMerge w:val="continue"/>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94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2、手柄与锤头装配紧密牢固。</w:t>
            </w:r>
          </w:p>
        </w:tc>
        <w:tc>
          <w:tcPr>
            <w:tcW w:w="592"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c>
          <w:tcPr>
            <w:tcW w:w="510" w:type="dxa"/>
            <w:vMerge w:val="continue"/>
            <w:tcBorders>
              <w:top w:val="nil"/>
              <w:left w:val="nil"/>
              <w:bottom w:val="single" w:color="000000" w:sz="8" w:space="0"/>
              <w:right w:val="single" w:color="000000" w:sz="8" w:space="0"/>
            </w:tcBorders>
            <w:noWrap w:val="0"/>
            <w:tcMar>
              <w:top w:w="8" w:type="dxa"/>
              <w:left w:w="8" w:type="dxa"/>
              <w:right w:w="8" w:type="dxa"/>
            </w:tcMar>
            <w:vAlign w:val="center"/>
          </w:tcPr>
          <w:p>
            <w:pPr>
              <w:jc w:val="center"/>
              <w:rPr>
                <w:rFonts w:hint="eastAsia" w:ascii="宋体" w:hAnsi="宋体" w:eastAsia="宋体" w:cs="宋体"/>
                <w:i w:val="0"/>
                <w:color w:val="000000"/>
                <w:sz w:val="21"/>
                <w:szCs w:val="21"/>
                <w:u w:val="none"/>
              </w:rPr>
            </w:pPr>
          </w:p>
        </w:tc>
      </w:tr>
      <w:tr>
        <w:tblPrEx>
          <w:tblCellMar>
            <w:top w:w="0" w:type="dxa"/>
            <w:left w:w="0" w:type="dxa"/>
            <w:bottom w:w="0" w:type="dxa"/>
            <w:right w:w="0" w:type="dxa"/>
          </w:tblCellMar>
        </w:tblPrEx>
        <w:trPr>
          <w:gridAfter w:val="1"/>
          <w:wAfter w:w="16" w:type="dxa"/>
          <w:trHeight w:val="285"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41</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手摇铃</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铜制作</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tcBorders>
              <w:top w:val="nil"/>
              <w:left w:val="single" w:color="000000" w:sz="8" w:space="0"/>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42</w:t>
            </w:r>
          </w:p>
        </w:tc>
        <w:tc>
          <w:tcPr>
            <w:tcW w:w="94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喷水壶</w:t>
            </w:r>
          </w:p>
        </w:tc>
        <w:tc>
          <w:tcPr>
            <w:tcW w:w="7556"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白色0.8L</w:t>
            </w:r>
          </w:p>
        </w:tc>
        <w:tc>
          <w:tcPr>
            <w:tcW w:w="592"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10" w:type="dxa"/>
            <w:tcBorders>
              <w:top w:val="nil"/>
              <w:left w:val="nil"/>
              <w:bottom w:val="single" w:color="000000" w:sz="8"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r>
        <w:tblPrEx>
          <w:tblCellMar>
            <w:top w:w="0" w:type="dxa"/>
            <w:left w:w="0" w:type="dxa"/>
            <w:bottom w:w="0" w:type="dxa"/>
            <w:right w:w="0" w:type="dxa"/>
          </w:tblCellMar>
        </w:tblPrEx>
        <w:trPr>
          <w:gridAfter w:val="1"/>
          <w:wAfter w:w="16" w:type="dxa"/>
          <w:trHeight w:val="285" w:hRule="atLeast"/>
          <w:jc w:val="center"/>
        </w:trPr>
        <w:tc>
          <w:tcPr>
            <w:tcW w:w="616" w:type="dxa"/>
            <w:tcBorders>
              <w:top w:val="nil"/>
              <w:left w:val="single" w:color="000000" w:sz="8" w:space="0"/>
              <w:bottom w:val="single" w:color="auto" w:sz="4"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43</w:t>
            </w:r>
          </w:p>
        </w:tc>
        <w:tc>
          <w:tcPr>
            <w:tcW w:w="940" w:type="dxa"/>
            <w:tcBorders>
              <w:top w:val="nil"/>
              <w:left w:val="nil"/>
              <w:bottom w:val="single" w:color="auto" w:sz="4"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吹风机</w:t>
            </w:r>
          </w:p>
        </w:tc>
        <w:tc>
          <w:tcPr>
            <w:tcW w:w="7556" w:type="dxa"/>
            <w:tcBorders>
              <w:top w:val="nil"/>
              <w:left w:val="nil"/>
              <w:bottom w:val="single" w:color="auto" w:sz="4" w:space="0"/>
              <w:right w:val="single" w:color="000000" w:sz="8" w:space="0"/>
            </w:tcBorders>
            <w:noWrap w:val="0"/>
            <w:tcMar>
              <w:top w:w="8" w:type="dxa"/>
              <w:left w:w="8" w:type="dxa"/>
              <w:right w:w="8"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电吹风最大功率: 1000W(含)-1199W(含)电吹风档位: 3档电吹风风嘴样式: 单集风嘴功能: 负离子</w:t>
            </w:r>
          </w:p>
        </w:tc>
        <w:tc>
          <w:tcPr>
            <w:tcW w:w="592" w:type="dxa"/>
            <w:tcBorders>
              <w:top w:val="nil"/>
              <w:left w:val="nil"/>
              <w:bottom w:val="single" w:color="auto" w:sz="4"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w:t>
            </w:r>
          </w:p>
        </w:tc>
        <w:tc>
          <w:tcPr>
            <w:tcW w:w="510" w:type="dxa"/>
            <w:tcBorders>
              <w:top w:val="nil"/>
              <w:left w:val="nil"/>
              <w:bottom w:val="single" w:color="auto" w:sz="4" w:space="0"/>
              <w:right w:val="single" w:color="000000" w:sz="8" w:space="0"/>
            </w:tcBorders>
            <w:noWrap w:val="0"/>
            <w:tcMar>
              <w:top w:w="8" w:type="dxa"/>
              <w:left w:w="8" w:type="dxa"/>
              <w:right w:w="8"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r>
    </w:tbl>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需要落实的政府采购政策</w:t>
      </w:r>
    </w:p>
    <w:p>
      <w:pPr>
        <w:numPr>
          <w:ilvl w:val="1"/>
          <w:numId w:val="5"/>
        </w:numPr>
        <w:spacing w:line="400" w:lineRule="exact"/>
        <w:ind w:firstLine="562" w:firstLineChars="20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促进中小企业、监狱企业和残疾人福利性单位发展扶持政策</w:t>
      </w:r>
    </w:p>
    <w:p>
      <w:pPr>
        <w:numPr>
          <w:ilvl w:val="2"/>
          <w:numId w:val="6"/>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小型和微型企业认定：</w:t>
      </w:r>
    </w:p>
    <w:p>
      <w:pPr>
        <w:numPr>
          <w:ilvl w:val="0"/>
          <w:numId w:val="7"/>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提供本企业制造的货物、承担的工程或服务的，或者提供其他小型或者微型企业制造的货物的；</w:t>
      </w:r>
    </w:p>
    <w:p>
      <w:pPr>
        <w:numPr>
          <w:ilvl w:val="0"/>
          <w:numId w:val="7"/>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提供由供应商企业所在地的县级及以上中小企业主管部门出具的</w:t>
      </w:r>
      <w:r>
        <w:rPr>
          <w:rFonts w:hint="eastAsia" w:ascii="宋体" w:hAnsi="宋体" w:eastAsia="宋体" w:cs="宋体"/>
          <w:bCs/>
          <w:szCs w:val="21"/>
          <w:lang w:eastAsia="zh-CN"/>
        </w:rPr>
        <w:t>中小企业认定的证明材料</w:t>
      </w:r>
      <w:r>
        <w:rPr>
          <w:rFonts w:hint="eastAsia" w:ascii="宋体" w:hAnsi="宋体" w:eastAsia="宋体" w:cs="宋体"/>
          <w:bCs/>
          <w:szCs w:val="21"/>
        </w:rPr>
        <w:t>（</w:t>
      </w:r>
      <w:r>
        <w:rPr>
          <w:rFonts w:hint="eastAsia" w:ascii="宋体" w:hAnsi="宋体" w:eastAsia="宋体" w:cs="宋体"/>
          <w:b/>
          <w:bCs/>
          <w:color w:val="0000FF"/>
          <w:kern w:val="0"/>
          <w:szCs w:val="21"/>
        </w:rPr>
        <w:t>投标文件商务、技术证明文件正本中提供复印件加盖投标人公章，副本中可为正本的复印件，</w:t>
      </w:r>
      <w:r>
        <w:rPr>
          <w:rFonts w:hint="eastAsia" w:ascii="宋体" w:hAnsi="宋体" w:eastAsia="宋体" w:cs="宋体"/>
          <w:b/>
          <w:bCs/>
          <w:color w:val="0000FF"/>
          <w:szCs w:val="21"/>
        </w:rPr>
        <w:t>原件核查）</w:t>
      </w:r>
      <w:r>
        <w:rPr>
          <w:rFonts w:hint="eastAsia" w:ascii="宋体" w:hAnsi="宋体" w:eastAsia="宋体" w:cs="宋体"/>
          <w:bCs/>
          <w:szCs w:val="21"/>
        </w:rPr>
        <w:t>和中小企业声明函</w:t>
      </w:r>
      <w:r>
        <w:rPr>
          <w:rFonts w:hint="eastAsia" w:ascii="宋体" w:hAnsi="宋体" w:eastAsia="宋体" w:cs="宋体"/>
          <w:b/>
          <w:bCs/>
          <w:color w:val="0000FF"/>
          <w:szCs w:val="21"/>
        </w:rPr>
        <w:t>（原件附</w:t>
      </w:r>
      <w:r>
        <w:rPr>
          <w:rFonts w:hint="eastAsia" w:ascii="宋体" w:hAnsi="宋体" w:eastAsia="宋体" w:cs="宋体"/>
          <w:b/>
          <w:bCs/>
          <w:color w:val="0000FF"/>
          <w:kern w:val="0"/>
          <w:szCs w:val="21"/>
        </w:rPr>
        <w:t>投标文件商务、技术证明文件正本中</w:t>
      </w:r>
      <w:r>
        <w:rPr>
          <w:rFonts w:hint="eastAsia" w:ascii="宋体" w:hAnsi="宋体" w:eastAsia="宋体" w:cs="宋体"/>
          <w:b/>
          <w:bCs/>
          <w:color w:val="0000FF"/>
          <w:szCs w:val="21"/>
        </w:rPr>
        <w:t>，副本可以为正本的复印件）</w:t>
      </w:r>
      <w:r>
        <w:rPr>
          <w:rFonts w:hint="eastAsia" w:ascii="宋体" w:hAnsi="宋体" w:eastAsia="宋体" w:cs="宋体"/>
          <w:bCs/>
          <w:szCs w:val="21"/>
        </w:rPr>
        <w:t>；供应商提供其他企业制造的货物的除需提供本企业的</w:t>
      </w:r>
      <w:r>
        <w:rPr>
          <w:rFonts w:hint="eastAsia" w:ascii="宋体" w:hAnsi="宋体" w:eastAsia="宋体" w:cs="宋体"/>
          <w:bCs/>
          <w:szCs w:val="21"/>
          <w:lang w:eastAsia="zh-CN"/>
        </w:rPr>
        <w:t>中小企业认定的证明材料</w:t>
      </w:r>
      <w:r>
        <w:rPr>
          <w:rFonts w:hint="eastAsia" w:ascii="宋体" w:hAnsi="宋体" w:eastAsia="宋体" w:cs="宋体"/>
          <w:bCs/>
          <w:szCs w:val="21"/>
        </w:rPr>
        <w:t>和中小企业声明函外，还需提供其他企业所在地的县级及以上中小企业主管部门出具的</w:t>
      </w:r>
      <w:r>
        <w:rPr>
          <w:rFonts w:hint="eastAsia" w:ascii="宋体" w:hAnsi="宋体" w:eastAsia="宋体" w:cs="宋体"/>
          <w:bCs/>
          <w:szCs w:val="21"/>
          <w:lang w:eastAsia="zh-CN"/>
        </w:rPr>
        <w:t>中小企业认定的证明材料</w:t>
      </w:r>
      <w:r>
        <w:rPr>
          <w:rFonts w:hint="eastAsia" w:ascii="宋体" w:hAnsi="宋体" w:eastAsia="宋体" w:cs="宋体"/>
          <w:bCs/>
          <w:szCs w:val="21"/>
        </w:rPr>
        <w:t>（</w:t>
      </w:r>
      <w:r>
        <w:rPr>
          <w:rFonts w:hint="eastAsia" w:ascii="宋体" w:hAnsi="宋体" w:eastAsia="宋体" w:cs="宋体"/>
          <w:b/>
          <w:bCs/>
          <w:color w:val="0000FF"/>
          <w:kern w:val="0"/>
          <w:szCs w:val="21"/>
        </w:rPr>
        <w:t>投标文件商务、技术证明文件正本中提供复印件加盖</w:t>
      </w:r>
      <w:r>
        <w:rPr>
          <w:rFonts w:hint="eastAsia" w:ascii="宋体" w:hAnsi="宋体" w:eastAsia="宋体" w:cs="宋体"/>
          <w:b/>
          <w:bCs/>
          <w:color w:val="0000FF"/>
          <w:kern w:val="0"/>
          <w:szCs w:val="21"/>
          <w:lang w:eastAsia="zh-CN"/>
        </w:rPr>
        <w:t>生产厂家</w:t>
      </w:r>
      <w:r>
        <w:rPr>
          <w:rFonts w:hint="eastAsia" w:ascii="宋体" w:hAnsi="宋体" w:eastAsia="宋体" w:cs="宋体"/>
          <w:b/>
          <w:bCs/>
          <w:color w:val="0000FF"/>
          <w:kern w:val="0"/>
          <w:szCs w:val="21"/>
        </w:rPr>
        <w:t>公章，副本中可为正本的复印件</w:t>
      </w:r>
      <w:r>
        <w:rPr>
          <w:rFonts w:hint="eastAsia" w:ascii="宋体" w:hAnsi="宋体" w:eastAsia="宋体" w:cs="宋体"/>
          <w:b/>
          <w:bCs/>
          <w:color w:val="0000FF"/>
          <w:szCs w:val="21"/>
        </w:rPr>
        <w:t>）</w:t>
      </w:r>
      <w:r>
        <w:rPr>
          <w:rFonts w:hint="eastAsia" w:ascii="宋体" w:hAnsi="宋体" w:eastAsia="宋体" w:cs="宋体"/>
          <w:bCs/>
          <w:szCs w:val="21"/>
        </w:rPr>
        <w:t>和中小企业声明函</w:t>
      </w:r>
      <w:r>
        <w:rPr>
          <w:rFonts w:hint="eastAsia" w:ascii="宋体" w:hAnsi="宋体" w:eastAsia="宋体" w:cs="宋体"/>
          <w:b/>
          <w:bCs/>
          <w:color w:val="0000FF"/>
          <w:szCs w:val="21"/>
        </w:rPr>
        <w:t>（原件附</w:t>
      </w:r>
      <w:r>
        <w:rPr>
          <w:rFonts w:hint="eastAsia" w:ascii="宋体" w:hAnsi="宋体" w:eastAsia="宋体" w:cs="宋体"/>
          <w:b/>
          <w:bCs/>
          <w:color w:val="0000FF"/>
          <w:kern w:val="0"/>
          <w:szCs w:val="21"/>
        </w:rPr>
        <w:t>投标文件商务、技术证明文件正本中</w:t>
      </w:r>
      <w:r>
        <w:rPr>
          <w:rFonts w:hint="eastAsia" w:ascii="宋体" w:hAnsi="宋体" w:eastAsia="宋体" w:cs="宋体"/>
          <w:b/>
          <w:bCs/>
          <w:color w:val="0000FF"/>
          <w:szCs w:val="21"/>
        </w:rPr>
        <w:t>，副本可以为正本的复印件）</w:t>
      </w:r>
      <w:r>
        <w:rPr>
          <w:rFonts w:hint="eastAsia" w:ascii="宋体" w:hAnsi="宋体" w:eastAsia="宋体" w:cs="宋体"/>
          <w:bCs/>
          <w:szCs w:val="21"/>
        </w:rPr>
        <w:t>，否则不予承认。</w:t>
      </w:r>
    </w:p>
    <w:p>
      <w:pPr>
        <w:spacing w:line="440" w:lineRule="exact"/>
        <w:rPr>
          <w:rFonts w:hint="eastAsia" w:ascii="宋体" w:hAnsi="宋体" w:eastAsia="宋体" w:cs="宋体"/>
          <w:b/>
          <w:bCs/>
          <w:szCs w:val="21"/>
        </w:rPr>
      </w:pPr>
      <w:r>
        <w:rPr>
          <w:rFonts w:hint="eastAsia" w:ascii="宋体" w:hAnsi="宋体" w:eastAsia="宋体" w:cs="宋体"/>
          <w:bCs/>
          <w:szCs w:val="21"/>
        </w:rPr>
        <w:t>　　</w:t>
      </w:r>
      <w:r>
        <w:rPr>
          <w:rFonts w:hint="eastAsia" w:ascii="宋体" w:hAnsi="宋体" w:eastAsia="宋体" w:cs="宋体"/>
          <w:b/>
          <w:bCs/>
          <w:szCs w:val="21"/>
        </w:rPr>
        <w:t>在评审的过程中，以上（1）和（2）同时成立，方可以认定为小型或微型企业并享受价格优惠。</w:t>
      </w:r>
    </w:p>
    <w:p>
      <w:pPr>
        <w:numPr>
          <w:ilvl w:val="2"/>
          <w:numId w:val="6"/>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eastAsia="宋体" w:cs="宋体"/>
          <w:b/>
          <w:bCs/>
          <w:color w:val="0000CC"/>
          <w:szCs w:val="21"/>
        </w:rPr>
        <w:t>（投标文件商务、技术证明文件正本中提供复印件加盖投标人公章，副本中可为正本的复印件，原件核查）</w:t>
      </w:r>
      <w:r>
        <w:rPr>
          <w:rFonts w:hint="eastAsia" w:ascii="宋体" w:hAnsi="宋体" w:eastAsia="宋体" w:cs="宋体"/>
          <w:bCs/>
          <w:szCs w:val="21"/>
        </w:rPr>
        <w:t>，不再提供《中小企业声明函》,供应商出具的监狱企业证明文件如有虚假，其成交资格将被取消，并根据相关规定进行处罚。</w:t>
      </w:r>
    </w:p>
    <w:p>
      <w:pPr>
        <w:numPr>
          <w:ilvl w:val="2"/>
          <w:numId w:val="6"/>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eastAsia="宋体" w:cs="宋体"/>
          <w:b/>
          <w:bCs/>
          <w:color w:val="0000CC"/>
          <w:szCs w:val="21"/>
        </w:rPr>
        <w:t>（原件附投标文件商务、技术证明文件正本中，副本可以为正本的复印件）</w:t>
      </w:r>
      <w:r>
        <w:rPr>
          <w:rFonts w:hint="eastAsia" w:ascii="宋体" w:hAnsi="宋体" w:eastAsia="宋体" w:cs="宋体"/>
          <w:bCs/>
          <w:szCs w:val="21"/>
        </w:rPr>
        <w:t>，不再提供《中小企业声明函》，供应商在《残疾人福利性单位声明函》中的承诺如有虚假，其成交资格将被取消，并根据相关规定进行处罚。</w:t>
      </w:r>
    </w:p>
    <w:p>
      <w:pPr>
        <w:numPr>
          <w:ilvl w:val="0"/>
          <w:numId w:val="0"/>
        </w:numPr>
        <w:spacing w:line="440" w:lineRule="exact"/>
        <w:ind w:leftChars="200"/>
        <w:rPr>
          <w:rFonts w:hint="eastAsia" w:ascii="宋体" w:hAnsi="宋体" w:eastAsia="宋体" w:cs="宋体"/>
          <w:bCs/>
          <w:szCs w:val="21"/>
        </w:rPr>
      </w:pPr>
      <w:r>
        <w:rPr>
          <w:rFonts w:hint="eastAsia" w:ascii="宋体" w:hAnsi="宋体" w:eastAsia="宋体" w:cs="宋体"/>
          <w:b/>
          <w:bCs/>
          <w:color w:val="FF0000"/>
          <w:szCs w:val="21"/>
        </w:rPr>
        <w:t>投标人同时为小型、微型企业、监狱企业、残疾人福利性单位任两种或以上情况的，评审中只享受一次价格扣除，不重复进行价格扣除。</w:t>
      </w:r>
    </w:p>
    <w:p>
      <w:pPr>
        <w:numPr>
          <w:ilvl w:val="1"/>
          <w:numId w:val="5"/>
        </w:numPr>
        <w:spacing w:line="400" w:lineRule="exact"/>
        <w:ind w:firstLine="562" w:firstLineChars="20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节能产品、环境标志产品</w:t>
      </w:r>
    </w:p>
    <w:p>
      <w:pPr>
        <w:spacing w:line="440" w:lineRule="exact"/>
        <w:ind w:firstLine="484" w:firstLineChars="202"/>
        <w:rPr>
          <w:rFonts w:hint="eastAsia" w:ascii="宋体" w:hAnsi="宋体" w:eastAsia="宋体" w:cs="宋体"/>
          <w:bCs/>
          <w:szCs w:val="21"/>
        </w:rPr>
      </w:pPr>
      <w:r>
        <w:rPr>
          <w:rFonts w:hint="eastAsia" w:ascii="宋体" w:hAnsi="宋体" w:eastAsia="宋体" w:cs="宋体"/>
          <w:bCs/>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eastAsia="宋体" w:cs="宋体"/>
          <w:b/>
          <w:bCs/>
          <w:color w:val="0000FF"/>
          <w:szCs w:val="21"/>
        </w:rPr>
        <w:t>（</w:t>
      </w:r>
      <w:r>
        <w:rPr>
          <w:rFonts w:hint="eastAsia" w:ascii="宋体" w:hAnsi="宋体" w:eastAsia="宋体" w:cs="宋体"/>
          <w:b/>
          <w:bCs/>
          <w:color w:val="0000FF"/>
          <w:kern w:val="0"/>
          <w:szCs w:val="21"/>
        </w:rPr>
        <w:t>投标文件商务、技术证明文件正本中提供复印件加盖投标人公章，副本中可为正本的复印件</w:t>
      </w:r>
      <w:r>
        <w:rPr>
          <w:rFonts w:hint="eastAsia" w:ascii="宋体" w:hAnsi="宋体" w:eastAsia="宋体" w:cs="宋体"/>
          <w:sz w:val="24"/>
        </w:rPr>
        <w:t>）</w:t>
      </w:r>
      <w:r>
        <w:rPr>
          <w:rFonts w:hint="eastAsia" w:ascii="宋体" w:hAnsi="宋体" w:eastAsia="宋体" w:cs="宋体"/>
          <w:b/>
          <w:bCs/>
          <w:color w:val="0000FF"/>
          <w:szCs w:val="21"/>
        </w:rPr>
        <w:t>）</w:t>
      </w:r>
      <w:r>
        <w:rPr>
          <w:rFonts w:hint="eastAsia" w:ascii="宋体" w:hAnsi="宋体" w:eastAsia="宋体" w:cs="宋体"/>
          <w:bCs/>
          <w:szCs w:val="21"/>
        </w:rPr>
        <w:t>，否则不予认定。</w:t>
      </w:r>
    </w:p>
    <w:p>
      <w:pPr>
        <w:pStyle w:val="2"/>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Gulim">
    <w:panose1 w:val="020B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
    <w:nsid w:val="0000000F"/>
    <w:multiLevelType w:val="singleLevel"/>
    <w:tmpl w:val="0000000F"/>
    <w:lvl w:ilvl="0" w:tentative="0">
      <w:start w:val="1"/>
      <w:numFmt w:val="decimal"/>
      <w:lvlText w:val="%1."/>
      <w:lvlJc w:val="left"/>
      <w:pPr>
        <w:tabs>
          <w:tab w:val="left" w:pos="312"/>
        </w:tabs>
      </w:pPr>
    </w:lvl>
  </w:abstractNum>
  <w:abstractNum w:abstractNumId="2">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3">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4"/>
  </w:num>
  <w:num w:numId="2">
    <w:abstractNumId w:val="5"/>
  </w:num>
  <w:num w:numId="3">
    <w:abstractNumId w:val="3"/>
  </w:num>
  <w:num w:numId="4">
    <w:abstractNumId w:val="1"/>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15438C"/>
    <w:rsid w:val="3C914E47"/>
    <w:rsid w:val="46C56C11"/>
    <w:rsid w:val="6A750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Book Antiqua" w:hAnsi="Book Antiqua" w:eastAsia="宋体" w:cs="宋体"/>
      <w:kern w:val="2"/>
      <w:sz w:val="24"/>
      <w:szCs w:val="24"/>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无间隔1"/>
    <w:basedOn w:val="1"/>
    <w:uiPriority w:val="0"/>
    <w:pPr>
      <w:spacing w:line="400" w:lineRule="exact"/>
    </w:pPr>
    <w:rPr>
      <w:rFonts w:eastAsia="宋体"/>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uiPriority w:val="0"/>
    <w:pPr>
      <w:spacing w:before="240" w:beforeLines="0" w:after="60" w:afterLines="0"/>
      <w:jc w:val="center"/>
      <w:outlineLvl w:val="0"/>
    </w:pPr>
    <w:rPr>
      <w:rFonts w:ascii="Arial" w:hAnsi="Arial" w:eastAsia="宋体" w:cs="Arial"/>
      <w:b/>
      <w:bCs/>
      <w:sz w:val="32"/>
      <w:szCs w:val="32"/>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2020-09-09T03:10:00Z</dcterms:created>
  <dc:creator>Administrator</dc:creator>
  <cp:lastModifiedBy>清晨的阳光</cp:lastModifiedBy>
  <dcterms:modified xsi:type="dcterms:W3CDTF">2020-09-14T07:33:17Z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