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line="480" w:lineRule="exact"/>
        <w:ind w:right="-72" w:rightChars="-30" w:firstLine="4176" w:firstLineChars="1300"/>
        <w:jc w:val="both"/>
        <w:rPr>
          <w:rFonts w:hint="eastAsia" w:ascii="宋体" w:hAnsi="宋体" w:eastAsia="宋体" w:cs="宋体"/>
          <w:bCs w:val="0"/>
        </w:rPr>
      </w:pPr>
      <w:r>
        <w:rPr>
          <w:rFonts w:hint="eastAsia" w:ascii="宋体" w:hAnsi="宋体" w:eastAsia="宋体" w:cs="宋体"/>
          <w:bCs w:val="0"/>
        </w:rPr>
        <w:t xml:space="preserve"> </w:t>
      </w:r>
      <w:bookmarkStart w:id="0" w:name="_Toc19390"/>
      <w:r>
        <w:rPr>
          <w:rFonts w:hint="eastAsia" w:ascii="宋体" w:hAnsi="宋体" w:eastAsia="宋体" w:cs="宋体"/>
          <w:bCs w:val="0"/>
        </w:rPr>
        <w:t>采购需求</w:t>
      </w:r>
      <w:bookmarkEnd w:id="0"/>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本次采购产品如在国家强制性认证范围内的必须取得国家强制性CCC认证（提供CCC认证证书，投标文件商务、技术证明文件正本中提供复印件加盖投标人或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本采购项目为交钥匙项目，验收合格前所需的一切费用均包含在报价之中，采购人不承担成交价格以外的任何费用。</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商务要求：</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合同履行期限：</w:t>
      </w:r>
      <w:r>
        <w:rPr>
          <w:rFonts w:hint="eastAsia" w:ascii="宋体" w:hAnsi="宋体" w:eastAsia="宋体" w:cs="宋体"/>
          <w:color w:val="auto"/>
          <w:szCs w:val="21"/>
          <w:lang w:val="en-US" w:eastAsia="zh-CN"/>
        </w:rPr>
        <w:t>20日历天</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供货安装地点：</w:t>
      </w:r>
      <w:r>
        <w:rPr>
          <w:rFonts w:hint="eastAsia" w:ascii="宋体" w:hAnsi="宋体" w:eastAsia="宋体" w:cs="宋体"/>
          <w:color w:val="auto"/>
          <w:szCs w:val="21"/>
          <w:lang w:eastAsia="zh-CN"/>
        </w:rPr>
        <w:t>采购人指定地点</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质量标准：</w:t>
      </w:r>
      <w:r>
        <w:rPr>
          <w:rFonts w:hint="eastAsia" w:ascii="宋体" w:hAnsi="宋体" w:eastAsia="宋体" w:cs="宋体"/>
          <w:color w:val="auto"/>
          <w:szCs w:val="21"/>
          <w:lang w:eastAsia="zh-CN"/>
        </w:rPr>
        <w:t>符合国家及行业相关标准</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lang w:eastAsia="zh-CN"/>
        </w:rPr>
        <w:t>质量保证期：</w:t>
      </w:r>
      <w:r>
        <w:rPr>
          <w:rFonts w:hint="eastAsia" w:ascii="宋体" w:hAnsi="宋体" w:eastAsia="宋体" w:cs="宋体"/>
          <w:color w:val="auto"/>
          <w:szCs w:val="21"/>
          <w:lang w:val="en-US" w:eastAsia="zh-CN"/>
        </w:rPr>
        <w:t>3年</w:t>
      </w:r>
      <w:r>
        <w:rPr>
          <w:rFonts w:hint="eastAsia" w:ascii="宋体" w:hAnsi="宋体" w:eastAsia="宋体" w:cs="宋体"/>
          <w:color w:val="auto"/>
          <w:szCs w:val="21"/>
        </w:rPr>
        <w:t xml:space="preserve"> </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履约担保：中标人与采购人签订合同前，需向采购人交纳中标金额的</w:t>
      </w:r>
      <w:r>
        <w:rPr>
          <w:rFonts w:hint="eastAsia" w:ascii="宋体" w:hAnsi="宋体" w:eastAsia="宋体" w:cs="宋体"/>
          <w:color w:val="auto"/>
          <w:szCs w:val="21"/>
          <w:u w:val="single"/>
        </w:rPr>
        <w:t>　</w:t>
      </w:r>
      <w:r>
        <w:rPr>
          <w:rFonts w:hint="eastAsia" w:ascii="宋体" w:hAnsi="宋体" w:eastAsia="宋体" w:cs="宋体"/>
          <w:color w:val="auto"/>
          <w:szCs w:val="21"/>
          <w:u w:val="single"/>
          <w:lang w:val="en-US" w:eastAsia="zh-CN"/>
        </w:rPr>
        <w:t>5</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%作为履约保证金，合同履行结束，经验收合格后退还。</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付款方式：</w:t>
      </w:r>
      <w:r>
        <w:rPr>
          <w:rFonts w:hint="eastAsia" w:ascii="宋体" w:hAnsi="宋体" w:eastAsia="宋体" w:cs="宋体"/>
          <w:color w:val="auto"/>
          <w:szCs w:val="21"/>
          <w:highlight w:val="none"/>
        </w:rPr>
        <w:t>全部供货完毕，经验收合格后付合同款的95%，剩余5%一年后无质量问题后一次性付清。</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其他要求：</w:t>
      </w:r>
    </w:p>
    <w:p>
      <w:pPr>
        <w:widowControl/>
        <w:numPr>
          <w:ilvl w:val="0"/>
          <w:numId w:val="0"/>
        </w:numPr>
        <w:adjustRightInd w:val="0"/>
        <w:snapToGrid w:val="0"/>
        <w:spacing w:line="400" w:lineRule="exact"/>
        <w:ind w:left="420" w:leftChars="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售后服务要求：</w:t>
      </w:r>
    </w:p>
    <w:p>
      <w:pPr>
        <w:widowControl/>
        <w:numPr>
          <w:ilvl w:val="0"/>
          <w:numId w:val="0"/>
        </w:numPr>
        <w:adjustRightInd w:val="0"/>
        <w:snapToGrid w:val="0"/>
        <w:spacing w:line="400" w:lineRule="exact"/>
        <w:ind w:left="420" w:leftChars="0"/>
        <w:rPr>
          <w:rFonts w:hint="eastAsia" w:ascii="宋体" w:hAnsi="宋体" w:eastAsia="宋体" w:cs="宋体"/>
          <w:color w:val="000000"/>
          <w:kern w:val="0"/>
          <w:szCs w:val="21"/>
        </w:rPr>
      </w:pPr>
      <w:r>
        <w:rPr>
          <w:rFonts w:hint="eastAsia" w:ascii="宋体" w:hAnsi="宋体" w:eastAsia="宋体" w:cs="宋体"/>
          <w:color w:val="000000"/>
          <w:kern w:val="0"/>
          <w:szCs w:val="21"/>
        </w:rPr>
        <w:t>（1）售后响应时间：</w:t>
      </w:r>
      <w:r>
        <w:rPr>
          <w:rFonts w:hint="eastAsia" w:ascii="宋体" w:hAnsi="宋体" w:eastAsia="宋体" w:cs="宋体"/>
          <w:color w:val="000000"/>
          <w:kern w:val="0"/>
          <w:szCs w:val="21"/>
          <w:lang w:val="en-US" w:eastAsia="zh-CN"/>
        </w:rPr>
        <w:t>7*24*365全年实施故障响应，</w:t>
      </w:r>
      <w:r>
        <w:rPr>
          <w:rFonts w:hint="eastAsia" w:ascii="宋体" w:hAnsi="宋体" w:eastAsia="宋体" w:cs="宋体"/>
          <w:color w:val="000000"/>
          <w:kern w:val="0"/>
          <w:szCs w:val="21"/>
        </w:rPr>
        <w:t>接到售后通知后2小时内响应，12小时内到达现场，24小时内</w:t>
      </w:r>
      <w:r>
        <w:rPr>
          <w:rFonts w:hint="eastAsia" w:ascii="宋体" w:hAnsi="宋体" w:eastAsia="宋体" w:cs="宋体"/>
          <w:color w:val="000000"/>
          <w:kern w:val="0"/>
          <w:szCs w:val="21"/>
          <w:lang w:eastAsia="zh-CN"/>
        </w:rPr>
        <w:t>维修并</w:t>
      </w:r>
      <w:r>
        <w:rPr>
          <w:rFonts w:hint="eastAsia" w:ascii="宋体" w:hAnsi="宋体" w:eastAsia="宋体" w:cs="宋体"/>
          <w:color w:val="000000"/>
          <w:kern w:val="0"/>
          <w:szCs w:val="21"/>
        </w:rPr>
        <w:t>解决</w:t>
      </w:r>
      <w:r>
        <w:rPr>
          <w:rFonts w:hint="eastAsia" w:ascii="宋体" w:hAnsi="宋体" w:eastAsia="宋体" w:cs="宋体"/>
          <w:color w:val="000000"/>
          <w:kern w:val="0"/>
          <w:szCs w:val="21"/>
          <w:lang w:eastAsia="zh-CN"/>
        </w:rPr>
        <w:t>问题</w:t>
      </w:r>
      <w:r>
        <w:rPr>
          <w:rFonts w:hint="eastAsia" w:ascii="宋体" w:hAnsi="宋体" w:eastAsia="宋体" w:cs="宋体"/>
          <w:color w:val="000000"/>
          <w:kern w:val="0"/>
          <w:szCs w:val="21"/>
        </w:rPr>
        <w:t>，达到甲方满意。</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（2）送货</w:t>
      </w:r>
      <w:r>
        <w:rPr>
          <w:rFonts w:hint="eastAsia" w:ascii="宋体" w:hAnsi="宋体" w:eastAsia="宋体" w:cs="宋体"/>
          <w:color w:val="000000"/>
          <w:kern w:val="0"/>
          <w:szCs w:val="21"/>
          <w:lang w:eastAsia="zh-CN"/>
        </w:rPr>
        <w:t>及安装</w:t>
      </w:r>
      <w:r>
        <w:rPr>
          <w:rFonts w:hint="eastAsia" w:ascii="宋体" w:hAnsi="宋体" w:eastAsia="宋体" w:cs="宋体"/>
          <w:color w:val="000000"/>
          <w:kern w:val="0"/>
          <w:szCs w:val="21"/>
        </w:rPr>
        <w:t>：免费送货上门</w:t>
      </w:r>
      <w:r>
        <w:rPr>
          <w:rFonts w:hint="eastAsia" w:ascii="宋体" w:hAnsi="宋体" w:eastAsia="宋体" w:cs="宋体"/>
          <w:color w:val="000000"/>
          <w:kern w:val="0"/>
          <w:szCs w:val="21"/>
          <w:lang w:eastAsia="zh-CN"/>
        </w:rPr>
        <w:t>、安装</w:t>
      </w:r>
      <w:r>
        <w:rPr>
          <w:rFonts w:hint="eastAsia" w:ascii="宋体" w:hAnsi="宋体" w:eastAsia="宋体" w:cs="宋体"/>
          <w:color w:val="000000"/>
          <w:kern w:val="0"/>
          <w:szCs w:val="21"/>
        </w:rPr>
        <w:t>。</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w:t>
      </w:r>
      <w:r>
        <w:rPr>
          <w:rFonts w:hint="eastAsia" w:ascii="宋体" w:hAnsi="宋体" w:eastAsia="宋体" w:cs="宋体"/>
          <w:color w:val="FF0000"/>
          <w:szCs w:val="21"/>
        </w:rPr>
        <w:t xml:space="preserve"> </w:t>
      </w:r>
      <w:r>
        <w:rPr>
          <w:rFonts w:hint="eastAsia" w:ascii="宋体" w:hAnsi="宋体" w:eastAsia="宋体" w:cs="宋体"/>
          <w:color w:val="000000"/>
          <w:kern w:val="0"/>
          <w:szCs w:val="21"/>
        </w:rPr>
        <w:t>投标报价要求：</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本次报价为人民币报价，包括产品价、人工、仓储、运输（含二次转运费等）费、下车费、保险费、税费等全部费用。</w:t>
      </w:r>
    </w:p>
    <w:p>
      <w:pPr>
        <w:spacing w:line="400" w:lineRule="exact"/>
        <w:ind w:firstLine="48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3.商品包装要求：</w:t>
      </w:r>
    </w:p>
    <w:p>
      <w:pPr>
        <w:spacing w:line="400" w:lineRule="exact"/>
        <w:ind w:firstLine="48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一）适用范围 </w:t>
      </w:r>
    </w:p>
    <w:p>
      <w:pPr>
        <w:spacing w:line="400" w:lineRule="exact"/>
        <w:ind w:firstLine="480" w:firstLineChars="200"/>
        <w:rPr>
          <w:rFonts w:hint="eastAsia" w:ascii="宋体" w:hAnsi="宋体" w:eastAsia="宋体" w:cs="宋体"/>
          <w:b/>
          <w:bCs/>
          <w:szCs w:val="21"/>
          <w:lang w:val="en-US" w:eastAsia="zh-CN"/>
        </w:rPr>
      </w:pPr>
      <w:r>
        <w:rPr>
          <w:rFonts w:hint="eastAsia" w:ascii="宋体" w:hAnsi="宋体" w:eastAsia="宋体" w:cs="宋体"/>
          <w:szCs w:val="21"/>
          <w:lang w:val="en-US" w:eastAsia="zh-CN"/>
        </w:rPr>
        <w:t>本标准规定了商品使用的塑料、纸质、木质等包装材料的环保要求。</w:t>
      </w:r>
    </w:p>
    <w:p>
      <w:pPr>
        <w:spacing w:line="400" w:lineRule="exact"/>
        <w:ind w:firstLine="482" w:firstLineChars="200"/>
        <w:rPr>
          <w:rFonts w:hint="eastAsia" w:ascii="宋体" w:hAnsi="宋体" w:eastAsia="宋体" w:cs="宋体"/>
          <w:b/>
          <w:bCs/>
          <w:szCs w:val="21"/>
        </w:rPr>
      </w:pPr>
      <w:r>
        <w:rPr>
          <w:rFonts w:hint="eastAsia" w:ascii="宋体" w:hAnsi="宋体" w:eastAsia="宋体" w:cs="宋体"/>
          <w:b/>
          <w:bCs/>
          <w:szCs w:val="21"/>
          <w:lang w:val="en-US" w:eastAsia="zh-CN"/>
        </w:rPr>
        <w:t xml:space="preserve">二）商品包装环保要求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（1）商品包装层数不得超过 3 层，空隙率不大于 40%；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（3）商品包装中铅、汞、镉、六价铬的总含量应不大于100mg/kg；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（4）商品包装印刷使用的油墨中挥发性有机化合物(VOCs)含量应不大于 5%（以重量计）；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（5）塑料材质商品包装上呈现的印刷颜色不得超过6色；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（6）纸质商品包装应使用75%以上的可再生纤维原料生产；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（7）木质商品包装的原料应来源于可持续性森林。 </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采购内容及技术要求</w:t>
      </w:r>
    </w:p>
    <w:p>
      <w:pPr>
        <w:spacing w:line="400" w:lineRule="exact"/>
        <w:rPr>
          <w:rFonts w:hint="eastAsia" w:ascii="宋体" w:hAnsi="宋体" w:eastAsia="宋体" w:cs="宋体"/>
          <w:szCs w:val="21"/>
        </w:rPr>
      </w:pPr>
      <w:r>
        <w:rPr>
          <w:rFonts w:hint="eastAsia" w:ascii="宋体" w:hAnsi="宋体" w:eastAsia="宋体" w:cs="宋体"/>
          <w:szCs w:val="21"/>
        </w:rPr>
        <w:t>本项目的核心产品为：</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电子琴</w:t>
      </w:r>
      <w:r>
        <w:rPr>
          <w:rFonts w:hint="eastAsia" w:ascii="宋体" w:hAnsi="宋体" w:eastAsia="宋体" w:cs="宋体"/>
          <w:szCs w:val="21"/>
          <w:u w:val="single"/>
        </w:rPr>
        <w:t xml:space="preserve">  </w:t>
      </w:r>
      <w:r>
        <w:rPr>
          <w:rFonts w:hint="eastAsia" w:ascii="宋体" w:hAnsi="宋体" w:eastAsia="宋体" w:cs="宋体"/>
          <w:szCs w:val="21"/>
        </w:rPr>
        <w:t>（核心产品仅适用于本项目</w:t>
      </w:r>
      <w:r>
        <w:rPr>
          <w:rFonts w:hint="eastAsia" w:ascii="宋体" w:hAnsi="宋体" w:eastAsia="宋体" w:cs="宋体"/>
          <w:bCs/>
          <w:szCs w:val="21"/>
        </w:rPr>
        <w:t>同一品牌的认定，同一品牌的认定详见投标人须知</w:t>
      </w:r>
      <w:r>
        <w:rPr>
          <w:rFonts w:hint="eastAsia" w:ascii="宋体" w:hAnsi="宋体" w:eastAsia="宋体" w:cs="宋体"/>
          <w:szCs w:val="21"/>
        </w:rPr>
        <w:t>）</w:t>
      </w:r>
    </w:p>
    <w:tbl>
      <w:tblPr>
        <w:tblStyle w:val="5"/>
        <w:tblW w:w="0" w:type="auto"/>
        <w:tblInd w:w="-3" w:type="dxa"/>
        <w:tblLayout w:type="fixed"/>
        <w:tblCellMar>
          <w:top w:w="0" w:type="dxa"/>
          <w:left w:w="0" w:type="dxa"/>
          <w:bottom w:w="0" w:type="dxa"/>
          <w:right w:w="0" w:type="dxa"/>
        </w:tblCellMar>
      </w:tblPr>
      <w:tblGrid>
        <w:gridCol w:w="9"/>
        <w:gridCol w:w="632"/>
        <w:gridCol w:w="966"/>
        <w:gridCol w:w="30"/>
        <w:gridCol w:w="6697"/>
        <w:gridCol w:w="705"/>
        <w:gridCol w:w="735"/>
      </w:tblGrid>
      <w:tr>
        <w:tblPrEx>
          <w:tblCellMar>
            <w:top w:w="0" w:type="dxa"/>
            <w:left w:w="0" w:type="dxa"/>
            <w:bottom w:w="0" w:type="dxa"/>
            <w:right w:w="0" w:type="dxa"/>
          </w:tblCellMar>
        </w:tblPrEx>
        <w:trPr>
          <w:gridBefore w:val="1"/>
          <w:wBefore w:w="9" w:type="dxa"/>
          <w:trHeight w:val="526" w:hRule="atLeast"/>
        </w:trPr>
        <w:tc>
          <w:tcPr>
            <w:tcW w:w="9765" w:type="dxa"/>
            <w:gridSpan w:val="6"/>
            <w:tcBorders>
              <w:top w:val="single" w:color="auto" w:sz="12"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体育器材</w:t>
            </w:r>
          </w:p>
        </w:tc>
      </w:tr>
      <w:tr>
        <w:tblPrEx>
          <w:tblCellMar>
            <w:top w:w="0" w:type="dxa"/>
            <w:left w:w="0" w:type="dxa"/>
            <w:bottom w:w="0" w:type="dxa"/>
            <w:right w:w="0" w:type="dxa"/>
          </w:tblCellMar>
        </w:tblPrEx>
        <w:trPr>
          <w:gridBefore w:val="1"/>
          <w:wBefore w:w="9" w:type="dxa"/>
          <w:trHeight w:val="526" w:hRule="atLeast"/>
        </w:trPr>
        <w:tc>
          <w:tcPr>
            <w:tcW w:w="632" w:type="dxa"/>
            <w:tcBorders>
              <w:top w:val="single" w:color="auto" w:sz="12"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15"/>
                <w:kern w:val="0"/>
                <w:sz w:val="24"/>
                <w:szCs w:val="24"/>
              </w:rPr>
              <w:t>序号</w:t>
            </w:r>
          </w:p>
        </w:tc>
        <w:tc>
          <w:tcPr>
            <w:tcW w:w="966" w:type="dxa"/>
            <w:tcBorders>
              <w:top w:val="single" w:color="auto" w:sz="12"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器材名称</w:t>
            </w:r>
          </w:p>
        </w:tc>
        <w:tc>
          <w:tcPr>
            <w:tcW w:w="6727" w:type="dxa"/>
            <w:gridSpan w:val="2"/>
            <w:tcBorders>
              <w:top w:val="single" w:color="auto" w:sz="12"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15"/>
                <w:kern w:val="0"/>
                <w:sz w:val="24"/>
                <w:szCs w:val="24"/>
              </w:rPr>
            </w:pPr>
            <w:r>
              <w:rPr>
                <w:rFonts w:hint="eastAsia" w:ascii="宋体" w:hAnsi="宋体" w:eastAsia="宋体" w:cs="宋体"/>
                <w:color w:val="auto"/>
                <w:spacing w:val="8"/>
                <w:kern w:val="0"/>
                <w:sz w:val="24"/>
                <w:szCs w:val="24"/>
                <w:lang w:eastAsia="zh-CN"/>
              </w:rPr>
              <w:t>规格型号</w:t>
            </w:r>
          </w:p>
        </w:tc>
        <w:tc>
          <w:tcPr>
            <w:tcW w:w="705" w:type="dxa"/>
            <w:tcBorders>
              <w:top w:val="single" w:color="auto" w:sz="12"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15"/>
                <w:kern w:val="0"/>
                <w:sz w:val="24"/>
                <w:szCs w:val="24"/>
              </w:rPr>
              <w:t>单位</w:t>
            </w:r>
          </w:p>
        </w:tc>
        <w:tc>
          <w:tcPr>
            <w:tcW w:w="735" w:type="dxa"/>
            <w:tcBorders>
              <w:top w:val="single" w:color="auto" w:sz="12"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配备数量</w:t>
            </w:r>
          </w:p>
        </w:tc>
      </w:tr>
      <w:tr>
        <w:tblPrEx>
          <w:tblCellMar>
            <w:top w:w="0" w:type="dxa"/>
            <w:left w:w="0" w:type="dxa"/>
            <w:bottom w:w="0" w:type="dxa"/>
            <w:right w:w="0" w:type="dxa"/>
          </w:tblCellMar>
        </w:tblPrEx>
        <w:trPr>
          <w:gridBefore w:val="1"/>
          <w:wBefore w:w="9" w:type="dxa"/>
          <w:trHeight w:val="980"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秒 表</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color w:val="auto"/>
                <w:sz w:val="21"/>
                <w:szCs w:val="21"/>
              </w:rPr>
              <w:t>显示系统:能够计量50-100个时段，可以读出小时、分钟、秒、1/100秒，分段点时间、分段区时间和全部经过时间的二排显示；防水、防震、防磁。</w:t>
            </w:r>
            <w:r>
              <w:rPr>
                <w:rFonts w:hint="eastAsia" w:ascii="宋体" w:hAnsi="宋体" w:eastAsia="宋体" w:cs="宋体"/>
                <w:color w:val="auto"/>
                <w:sz w:val="21"/>
                <w:szCs w:val="21"/>
                <w:lang w:eastAsia="zh-CN"/>
              </w:rPr>
              <w:t>符合GB/T 22778-2008</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块</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15</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ind w:left="256" w:hanging="256" w:hangingChars="100"/>
              <w:jc w:val="both"/>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发令枪</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val="en-US"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可同时装2～5发子弹,军用钢发射装置,塑胶手柄,具有一定撞针冲击力，无后坐力设计</w:t>
            </w:r>
            <w:r>
              <w:rPr>
                <w:rFonts w:hint="eastAsia" w:ascii="宋体" w:hAnsi="宋体" w:eastAsia="宋体" w:cs="宋体"/>
                <w:i w:val="0"/>
                <w:color w:val="auto"/>
                <w:kern w:val="0"/>
                <w:sz w:val="21"/>
                <w:szCs w:val="21"/>
                <w:u w:val="none"/>
                <w:lang w:val="en-US" w:eastAsia="zh-CN" w:bidi="ar"/>
              </w:rPr>
              <w:fldChar w:fldCharType="end"/>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支</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15</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投掷靶</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z w:val="21"/>
                <w:szCs w:val="21"/>
              </w:rPr>
              <w:t>铁</w:t>
            </w:r>
            <w:r>
              <w:rPr>
                <w:rFonts w:hint="eastAsia" w:ascii="宋体" w:hAnsi="宋体" w:eastAsia="宋体" w:cs="宋体"/>
                <w:color w:val="auto"/>
                <w:sz w:val="21"/>
                <w:szCs w:val="21"/>
                <w:lang w:eastAsia="zh-CN"/>
              </w:rPr>
              <w:t>框架</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木靶面。</w:t>
            </w:r>
            <w:r>
              <w:rPr>
                <w:rFonts w:hint="eastAsia" w:ascii="宋体" w:hAnsi="宋体" w:eastAsia="宋体" w:cs="宋体"/>
                <w:color w:val="auto"/>
                <w:sz w:val="21"/>
                <w:szCs w:val="21"/>
              </w:rPr>
              <w:t>靶面</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00mm×</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00mm，中心孔直径为40mm，孔中心距地面1.1m～1.4m</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套</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18</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4</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标志杆</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高1.2m～1.6m，立柱直径25mm，三角形红色旗面</w:t>
            </w:r>
            <w:r>
              <w:rPr>
                <w:rFonts w:hint="eastAsia" w:ascii="宋体" w:hAnsi="宋体" w:eastAsia="宋体" w:cs="宋体"/>
                <w:i w:val="0"/>
                <w:color w:val="auto"/>
                <w:kern w:val="0"/>
                <w:sz w:val="21"/>
                <w:szCs w:val="21"/>
                <w:u w:val="none"/>
                <w:lang w:val="en-US" w:eastAsia="zh-CN" w:bidi="ar"/>
              </w:rPr>
              <w:fldChar w:fldCharType="end"/>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根</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72</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5</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垒球</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圆周长195mm±10mm,质量80g±5g，1000mm高度自由落体落下，回弹高度应不小于300mm</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19851.19-2007</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180</w:t>
            </w:r>
          </w:p>
        </w:tc>
      </w:tr>
      <w:tr>
        <w:tblPrEx>
          <w:tblCellMar>
            <w:top w:w="0" w:type="dxa"/>
            <w:left w:w="0" w:type="dxa"/>
            <w:bottom w:w="0" w:type="dxa"/>
            <w:right w:w="0" w:type="dxa"/>
          </w:tblCellMar>
        </w:tblPrEx>
        <w:trPr>
          <w:gridBefore w:val="1"/>
          <w:wBefore w:w="9" w:type="dxa"/>
          <w:trHeight w:val="761"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6</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实心球</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圆周长350mm～780mm,质量1000g±30g,采用适宜的软性材料，球体表面应进行防滑处理,不应有颗粒脱落、裂缝等缺陷,经过从10m高处自由落体试验后，应无破裂</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。GB/T 19851.18-2007</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180</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7</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跳高架</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top"/>
          </w:tcPr>
          <w:p>
            <w:pPr>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立柱高度1600mm～2000mm；高度刻度500mm～1800mm；横杆托长60mm，宽40mm</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19851.17-2007</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付</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10</w:t>
            </w:r>
          </w:p>
        </w:tc>
      </w:tr>
      <w:tr>
        <w:tblPrEx>
          <w:tblCellMar>
            <w:top w:w="0" w:type="dxa"/>
            <w:left w:w="0" w:type="dxa"/>
            <w:bottom w:w="0" w:type="dxa"/>
            <w:right w:w="0" w:type="dxa"/>
          </w:tblCellMar>
        </w:tblPrEx>
        <w:trPr>
          <w:gridBefore w:val="1"/>
          <w:wBefore w:w="9" w:type="dxa"/>
          <w:trHeight w:val="761"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8</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跳高横杆</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top"/>
          </w:tcPr>
          <w:p>
            <w:pPr>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长3000mm～4000mm，直径25mm～30mm,质量不超过2000g,采用不宜折断的适宜材料制成，不应采用金属材料，除两端外，横截面应呈圆形，颜色醒目。横杆固定在立柱上，中心自然下垂应小于20mm</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color w:val="auto"/>
                <w:sz w:val="21"/>
                <w:szCs w:val="21"/>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根</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20</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接力棒</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t>长280mm-300mm,直径30mm-42mm,质量不小于50g</w:t>
            </w:r>
            <w:r>
              <w:rPr>
                <w:rFonts w:hint="eastAsia" w:ascii="宋体" w:hAnsi="宋体" w:eastAsia="宋体" w:cs="宋体"/>
                <w:color w:val="auto"/>
                <w:sz w:val="21"/>
                <w:szCs w:val="21"/>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根</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54</w:t>
            </w:r>
          </w:p>
        </w:tc>
      </w:tr>
      <w:tr>
        <w:tblPrEx>
          <w:tblCellMar>
            <w:top w:w="0" w:type="dxa"/>
            <w:left w:w="0" w:type="dxa"/>
            <w:bottom w:w="0" w:type="dxa"/>
            <w:right w:w="0" w:type="dxa"/>
          </w:tblCellMar>
        </w:tblPrEx>
        <w:trPr>
          <w:gridBefore w:val="1"/>
          <w:wBefore w:w="9" w:type="dxa"/>
          <w:trHeight w:val="696"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10</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钻圈架</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 xml:space="preserve"> </w:t>
            </w: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钻圈架两立柱及底座为30mm×30mm的方管，圈体为Φ20mm的圆管。圈体直径为600mm～750mm</w:t>
            </w:r>
            <w:r>
              <w:rPr>
                <w:rFonts w:hint="eastAsia" w:ascii="宋体" w:hAnsi="宋体" w:eastAsia="宋体" w:cs="宋体"/>
                <w:i w:val="0"/>
                <w:color w:val="auto"/>
                <w:kern w:val="0"/>
                <w:sz w:val="21"/>
                <w:szCs w:val="21"/>
                <w:u w:val="none"/>
                <w:lang w:val="en-US" w:eastAsia="zh-CN" w:bidi="ar"/>
              </w:rPr>
              <w:fldChar w:fldCharType="end"/>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72</w:t>
            </w:r>
          </w:p>
        </w:tc>
      </w:tr>
      <w:tr>
        <w:tblPrEx>
          <w:tblCellMar>
            <w:top w:w="0" w:type="dxa"/>
            <w:left w:w="0" w:type="dxa"/>
            <w:bottom w:w="0" w:type="dxa"/>
            <w:right w:w="0" w:type="dxa"/>
          </w:tblCellMar>
        </w:tblPrEx>
        <w:trPr>
          <w:gridBefore w:val="1"/>
          <w:wBefore w:w="9" w:type="dxa"/>
          <w:trHeight w:val="587"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11</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山羊</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山羊全高：680mm～1080mm；山羊头长：420mm～460mm；头宽：280mm±5mm；头高：180mm～220mm，立轴升降间距：50mm±3mm，山羊腿外直径≥30mm，山羊腿壁厚≥3mm</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19851.2-2005</w:t>
            </w:r>
            <w:r>
              <w:rPr>
                <w:rFonts w:hint="eastAsia" w:ascii="宋体" w:hAnsi="宋体" w:eastAsia="宋体" w:cs="宋体"/>
                <w:color w:val="auto"/>
                <w:sz w:val="21"/>
                <w:szCs w:val="21"/>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台</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w:t>
            </w:r>
          </w:p>
        </w:tc>
      </w:tr>
      <w:tr>
        <w:tblPrEx>
          <w:tblCellMar>
            <w:top w:w="0" w:type="dxa"/>
            <w:left w:w="0" w:type="dxa"/>
            <w:bottom w:w="0" w:type="dxa"/>
            <w:right w:w="0" w:type="dxa"/>
          </w:tblCellMar>
        </w:tblPrEx>
        <w:trPr>
          <w:gridBefore w:val="1"/>
          <w:wBefore w:w="9" w:type="dxa"/>
          <w:trHeight w:val="587" w:hRule="atLeast"/>
        </w:trPr>
        <w:tc>
          <w:tcPr>
            <w:tcW w:w="632" w:type="dxa"/>
            <w:tcBorders>
              <w:top w:val="single" w:color="auto" w:sz="4"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12</w:t>
            </w:r>
          </w:p>
        </w:tc>
        <w:tc>
          <w:tcPr>
            <w:tcW w:w="966"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助跳板</w:t>
            </w:r>
          </w:p>
        </w:tc>
        <w:tc>
          <w:tcPr>
            <w:tcW w:w="6727" w:type="dxa"/>
            <w:gridSpan w:val="2"/>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exact"/>
              <w:textAlignment w:val="auto"/>
              <w:rPr>
                <w:rFonts w:hint="eastAsia" w:ascii="宋体" w:hAnsi="宋体" w:eastAsia="宋体" w:cs="宋体"/>
                <w:color w:val="auto"/>
                <w:sz w:val="21"/>
                <w:szCs w:val="21"/>
                <w:lang w:eastAsia="zh-CN"/>
              </w:rPr>
            </w:pPr>
          </w:p>
          <w:p>
            <w:pPr>
              <w:keepNext w:val="0"/>
              <w:keepLines w:val="0"/>
              <w:pageBreakBefore w:val="0"/>
              <w:widowControl/>
              <w:kinsoku/>
              <w:wordWrap w:val="0"/>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lang w:eastAsia="zh-CN"/>
              </w:rPr>
              <w:t>主要原材料采用木材或其他弹性材料，</w:t>
            </w:r>
            <w:r>
              <w:rPr>
                <w:rFonts w:hint="eastAsia" w:ascii="宋体" w:hAnsi="宋体" w:eastAsia="宋体" w:cs="宋体"/>
                <w:color w:val="auto"/>
                <w:sz w:val="21"/>
                <w:szCs w:val="21"/>
              </w:rPr>
              <w:t>符合GB/T19851.2-2005中Ⅰ、Ⅱ型要求。</w:t>
            </w:r>
          </w:p>
        </w:tc>
        <w:tc>
          <w:tcPr>
            <w:tcW w:w="70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块</w:t>
            </w:r>
          </w:p>
        </w:tc>
        <w:tc>
          <w:tcPr>
            <w:tcW w:w="73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w:t>
            </w:r>
          </w:p>
        </w:tc>
      </w:tr>
      <w:tr>
        <w:tblPrEx>
          <w:tblCellMar>
            <w:top w:w="0" w:type="dxa"/>
            <w:left w:w="0" w:type="dxa"/>
            <w:bottom w:w="0" w:type="dxa"/>
            <w:right w:w="0" w:type="dxa"/>
          </w:tblCellMar>
        </w:tblPrEx>
        <w:trPr>
          <w:gridBefore w:val="1"/>
          <w:wBefore w:w="9" w:type="dxa"/>
          <w:trHeight w:val="514"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13</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小沙包</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rPr>
                <w:rFonts w:hint="eastAsia" w:ascii="宋体" w:hAnsi="宋体" w:eastAsia="宋体" w:cs="宋体"/>
                <w:color w:val="auto"/>
                <w:spacing w:val="8"/>
                <w:kern w:val="0"/>
                <w:sz w:val="24"/>
                <w:szCs w:val="24"/>
              </w:rPr>
            </w:pPr>
            <w:r>
              <w:rPr>
                <w:rFonts w:hint="eastAsia" w:ascii="宋体" w:hAnsi="宋体" w:eastAsia="宋体" w:cs="宋体"/>
                <w:color w:val="auto"/>
                <w:sz w:val="21"/>
                <w:szCs w:val="21"/>
              </w:rPr>
              <w:t>帆布制作，质量约</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0g</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只</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300</w:t>
            </w:r>
          </w:p>
        </w:tc>
      </w:tr>
      <w:tr>
        <w:tblPrEx>
          <w:tblCellMar>
            <w:top w:w="0" w:type="dxa"/>
            <w:left w:w="0" w:type="dxa"/>
            <w:bottom w:w="0" w:type="dxa"/>
            <w:right w:w="0" w:type="dxa"/>
          </w:tblCellMar>
        </w:tblPrEx>
        <w:trPr>
          <w:gridBefore w:val="1"/>
          <w:wBefore w:w="9" w:type="dxa"/>
          <w:trHeight w:val="1546"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14</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皮  尺</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50m，仿皮外壳，苎麻布卷尺，防水，防腐蚀；铜制卡扣和收放扣</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.符合QB/T 1519-2011</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卷</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rPr>
              <w:t>1</w:t>
            </w:r>
            <w:r>
              <w:rPr>
                <w:rFonts w:hint="eastAsia" w:ascii="宋体" w:hAnsi="宋体" w:eastAsia="宋体" w:cs="宋体"/>
                <w:color w:val="auto"/>
                <w:spacing w:val="8"/>
                <w:kern w:val="0"/>
                <w:sz w:val="24"/>
                <w:szCs w:val="24"/>
                <w:lang w:val="en-US" w:eastAsia="zh-CN"/>
              </w:rPr>
              <w:t>5</w:t>
            </w:r>
          </w:p>
        </w:tc>
      </w:tr>
      <w:tr>
        <w:tblPrEx>
          <w:tblCellMar>
            <w:top w:w="0" w:type="dxa"/>
            <w:left w:w="0" w:type="dxa"/>
            <w:bottom w:w="0" w:type="dxa"/>
            <w:right w:w="0" w:type="dxa"/>
          </w:tblCellMar>
        </w:tblPrEx>
        <w:trPr>
          <w:gridBefore w:val="1"/>
          <w:wBefore w:w="9" w:type="dxa"/>
          <w:trHeight w:val="765"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15</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小</w:t>
            </w:r>
            <w:r>
              <w:rPr>
                <w:rFonts w:hint="eastAsia" w:ascii="宋体" w:hAnsi="宋体" w:eastAsia="宋体" w:cs="宋体"/>
                <w:color w:val="auto"/>
                <w:spacing w:val="8"/>
                <w:kern w:val="0"/>
                <w:sz w:val="24"/>
                <w:szCs w:val="24"/>
                <w:lang w:eastAsia="zh-CN"/>
              </w:rPr>
              <w:t>跳</w:t>
            </w:r>
            <w:r>
              <w:rPr>
                <w:rFonts w:hint="eastAsia" w:ascii="宋体" w:hAnsi="宋体" w:eastAsia="宋体" w:cs="宋体"/>
                <w:color w:val="auto"/>
                <w:spacing w:val="8"/>
                <w:kern w:val="0"/>
                <w:sz w:val="24"/>
                <w:szCs w:val="24"/>
              </w:rPr>
              <w:t>垫</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25" w:lineRule="atLeast"/>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采用泡沫塑料和泡沫乳胶，帆布或人造革外皮，长1200mm±5mm,宽600mm±5mm,厚≥50mm。在长度方向可对半折叠，两侧应各有提手，四周加装粘扣</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19851.2-2005</w:t>
            </w:r>
            <w:r>
              <w:rPr>
                <w:rFonts w:hint="eastAsia" w:ascii="宋体" w:hAnsi="宋体" w:eastAsia="宋体" w:cs="宋体"/>
                <w:color w:val="auto"/>
                <w:sz w:val="21"/>
                <w:szCs w:val="21"/>
              </w:rPr>
              <w:t>。</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块</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247</w:t>
            </w:r>
          </w:p>
        </w:tc>
      </w:tr>
      <w:tr>
        <w:tblPrEx>
          <w:tblCellMar>
            <w:top w:w="0" w:type="dxa"/>
            <w:left w:w="0" w:type="dxa"/>
            <w:bottom w:w="0" w:type="dxa"/>
            <w:right w:w="0" w:type="dxa"/>
          </w:tblCellMar>
        </w:tblPrEx>
        <w:trPr>
          <w:gridBefore w:val="1"/>
          <w:wBefore w:w="9" w:type="dxa"/>
          <w:trHeight w:val="1012"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16</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大</w:t>
            </w:r>
            <w:r>
              <w:rPr>
                <w:rFonts w:hint="eastAsia" w:ascii="宋体" w:hAnsi="宋体" w:eastAsia="宋体" w:cs="宋体"/>
                <w:color w:val="auto"/>
                <w:spacing w:val="8"/>
                <w:kern w:val="0"/>
                <w:sz w:val="24"/>
                <w:szCs w:val="24"/>
                <w:lang w:eastAsia="zh-CN"/>
              </w:rPr>
              <w:t>跳</w:t>
            </w:r>
            <w:r>
              <w:rPr>
                <w:rFonts w:hint="eastAsia" w:ascii="宋体" w:hAnsi="宋体" w:eastAsia="宋体" w:cs="宋体"/>
                <w:color w:val="auto"/>
                <w:spacing w:val="8"/>
                <w:kern w:val="0"/>
                <w:sz w:val="24"/>
                <w:szCs w:val="24"/>
              </w:rPr>
              <w:t>垫</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25" w:lineRule="atLeast"/>
              <w:rPr>
                <w:rFonts w:hint="eastAsia" w:ascii="宋体" w:hAnsi="宋体" w:eastAsia="宋体" w:cs="宋体"/>
                <w:color w:val="auto"/>
                <w:spacing w:val="8"/>
                <w:kern w:val="0"/>
                <w:sz w:val="24"/>
                <w:szCs w:val="24"/>
              </w:rPr>
            </w:pPr>
            <w:r>
              <w:rPr>
                <w:rStyle w:val="7"/>
                <w:rFonts w:hint="eastAsia" w:ascii="宋体" w:hAnsi="宋体" w:eastAsia="宋体" w:cs="宋体"/>
                <w:i w:val="0"/>
                <w:color w:val="auto"/>
                <w:sz w:val="21"/>
                <w:szCs w:val="21"/>
                <w:u w:val="none"/>
              </w:rPr>
              <w:t>采用泡沫塑料和泡沫乳胶，帆布或人造革外皮，长2000mm</w:t>
            </w: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采用泡沫塑料和泡沫乳胶，帆布或人造革外皮，长2000mm±5mm,宽1000mm±5mm,厚≥100mm。在长度方向可对半折叠，两侧应各有提手，四周加装粘扣</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19851.2-2005</w:t>
            </w:r>
            <w:r>
              <w:rPr>
                <w:rFonts w:hint="eastAsia" w:ascii="宋体" w:hAnsi="宋体" w:eastAsia="宋体" w:cs="宋体"/>
                <w:color w:val="auto"/>
                <w:sz w:val="21"/>
                <w:szCs w:val="21"/>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块</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58</w:t>
            </w:r>
          </w:p>
        </w:tc>
      </w:tr>
      <w:tr>
        <w:tblPrEx>
          <w:tblCellMar>
            <w:top w:w="0" w:type="dxa"/>
            <w:left w:w="0" w:type="dxa"/>
            <w:bottom w:w="0" w:type="dxa"/>
            <w:right w:w="0" w:type="dxa"/>
          </w:tblCellMar>
        </w:tblPrEx>
        <w:trPr>
          <w:gridBefore w:val="1"/>
          <w:wBefore w:w="9" w:type="dxa"/>
          <w:trHeight w:val="761"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17</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单杠</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Style w:val="7"/>
                <w:rFonts w:hint="eastAsia" w:ascii="宋体" w:hAnsi="宋体" w:eastAsia="宋体" w:cs="宋体"/>
                <w:i w:val="0"/>
                <w:color w:val="auto"/>
                <w:sz w:val="21"/>
                <w:szCs w:val="21"/>
                <w:u w:val="none"/>
              </w:rPr>
              <w:t xml:space="preserve">杠面高度：1200mm～2000mm，两立柱支点中心距：2000mm～2400mm，横杠材料：弹簧钢，立柱材料：钢管 </w:t>
            </w:r>
            <w:r>
              <w:rPr>
                <w:rStyle w:val="7"/>
                <w:rFonts w:hint="eastAsia" w:ascii="宋体" w:hAnsi="宋体" w:eastAsia="宋体" w:cs="宋体"/>
                <w:i w:val="0"/>
                <w:color w:val="auto"/>
                <w:sz w:val="21"/>
                <w:szCs w:val="21"/>
                <w:u w:val="none"/>
                <w:lang w:eastAsia="zh-CN"/>
              </w:rPr>
              <w:t>。</w:t>
            </w:r>
            <w:r>
              <w:rPr>
                <w:rFonts w:hint="eastAsia" w:ascii="宋体" w:hAnsi="宋体" w:eastAsia="宋体" w:cs="宋体"/>
                <w:i w:val="0"/>
                <w:color w:val="auto"/>
                <w:kern w:val="0"/>
                <w:sz w:val="21"/>
                <w:szCs w:val="21"/>
                <w:u w:val="none"/>
                <w:lang w:val="en-US" w:eastAsia="zh-CN" w:bidi="ar"/>
              </w:rPr>
              <w:t>符合GB/T 19851.2-2005</w:t>
            </w:r>
            <w:r>
              <w:rPr>
                <w:rStyle w:val="7"/>
                <w:rFonts w:hint="eastAsia" w:ascii="宋体" w:hAnsi="宋体" w:eastAsia="宋体" w:cs="宋体"/>
                <w:i w:val="0"/>
                <w:color w:val="auto"/>
                <w:sz w:val="21"/>
                <w:szCs w:val="21"/>
                <w:u w:val="none"/>
              </w:rPr>
              <w:t xml:space="preserve"> </w:t>
            </w:r>
            <w:r>
              <w:rPr>
                <w:rFonts w:hint="eastAsia" w:ascii="宋体" w:hAnsi="宋体" w:eastAsia="宋体" w:cs="宋体"/>
                <w:color w:val="auto"/>
                <w:sz w:val="21"/>
                <w:szCs w:val="21"/>
              </w:rPr>
              <w:t>。</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付</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14</w:t>
            </w:r>
          </w:p>
        </w:tc>
      </w:tr>
      <w:tr>
        <w:tblPrEx>
          <w:tblCellMar>
            <w:top w:w="0" w:type="dxa"/>
            <w:left w:w="0" w:type="dxa"/>
            <w:bottom w:w="0" w:type="dxa"/>
            <w:right w:w="0" w:type="dxa"/>
          </w:tblCellMar>
        </w:tblPrEx>
        <w:trPr>
          <w:gridBefore w:val="1"/>
          <w:wBefore w:w="9" w:type="dxa"/>
          <w:trHeight w:val="765"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18</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毽子</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键毛应采用8支～10支彩色鸡羽，扎成圆形，毽垫直径30mm～32mm，厚度3mm～4mm，球高130mm～180mm，球重13g～15g</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w:t>
            </w:r>
            <w:r>
              <w:rPr>
                <w:rFonts w:hint="eastAsia" w:ascii="宋体" w:hAnsi="宋体" w:eastAsia="宋体" w:cs="宋体"/>
                <w:color w:val="auto"/>
                <w:sz w:val="21"/>
                <w:szCs w:val="21"/>
              </w:rPr>
              <w:t>符合</w:t>
            </w:r>
            <w:r>
              <w:rPr>
                <w:rFonts w:hint="eastAsia" w:ascii="宋体" w:hAnsi="宋体" w:eastAsia="宋体" w:cs="宋体"/>
                <w:i w:val="0"/>
                <w:color w:val="auto"/>
                <w:kern w:val="0"/>
                <w:sz w:val="21"/>
                <w:szCs w:val="21"/>
                <w:u w:val="none"/>
                <w:lang w:val="en-US" w:eastAsia="zh-CN" w:bidi="ar"/>
              </w:rPr>
              <w:t>GB/T 19851.21-2007</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只</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rPr>
              <w:t>20</w:t>
            </w:r>
            <w:r>
              <w:rPr>
                <w:rFonts w:hint="eastAsia" w:ascii="宋体" w:hAnsi="宋体" w:eastAsia="宋体" w:cs="宋体"/>
                <w:color w:val="auto"/>
                <w:spacing w:val="8"/>
                <w:kern w:val="0"/>
                <w:sz w:val="24"/>
                <w:szCs w:val="24"/>
                <w:lang w:val="en-US" w:eastAsia="zh-CN"/>
              </w:rPr>
              <w:t>0</w:t>
            </w:r>
          </w:p>
        </w:tc>
      </w:tr>
      <w:tr>
        <w:tblPrEx>
          <w:tblCellMar>
            <w:top w:w="0" w:type="dxa"/>
            <w:left w:w="0" w:type="dxa"/>
            <w:bottom w:w="0" w:type="dxa"/>
            <w:right w:w="0" w:type="dxa"/>
          </w:tblCellMar>
        </w:tblPrEx>
        <w:trPr>
          <w:gridBefore w:val="1"/>
          <w:wBefore w:w="9" w:type="dxa"/>
          <w:trHeight w:val="792"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19</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短跳绳</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75" w:lineRule="atLeast"/>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短跳绳，绳长度2800mm～3000mm，直径7mm～8mm，质量90g～120g，柄(2个)：长度140mm～170mm，直径26mm～33mm，质量70g～90g</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。GB/T 19851.20-2007</w:t>
            </w:r>
            <w:r>
              <w:rPr>
                <w:rFonts w:hint="eastAsia" w:ascii="宋体" w:hAnsi="宋体" w:eastAsia="宋体" w:cs="宋体"/>
                <w:color w:val="auto"/>
                <w:sz w:val="21"/>
                <w:szCs w:val="21"/>
              </w:rPr>
              <w:t>。</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根</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450</w:t>
            </w:r>
          </w:p>
        </w:tc>
      </w:tr>
      <w:tr>
        <w:tblPrEx>
          <w:tblCellMar>
            <w:top w:w="0" w:type="dxa"/>
            <w:left w:w="0" w:type="dxa"/>
            <w:bottom w:w="0" w:type="dxa"/>
            <w:right w:w="0" w:type="dxa"/>
          </w:tblCellMar>
        </w:tblPrEx>
        <w:trPr>
          <w:gridBefore w:val="1"/>
          <w:wBefore w:w="9" w:type="dxa"/>
          <w:trHeight w:val="792"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20</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长跳绳</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180" w:lineRule="atLeast"/>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长跳绳，绳长度4000mm～6000mm，直径8～9mm，质量140g～235g；柄(2个)：长度140mm～170mm，直径26mm～33mm，质量70g～90g</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。GB/T 19851.20-2007</w:t>
            </w:r>
            <w:r>
              <w:rPr>
                <w:rFonts w:hint="eastAsia" w:ascii="宋体" w:hAnsi="宋体" w:eastAsia="宋体" w:cs="宋体"/>
                <w:color w:val="auto"/>
                <w:sz w:val="21"/>
                <w:szCs w:val="21"/>
              </w:rPr>
              <w:t>。</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根</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98</w:t>
            </w:r>
          </w:p>
        </w:tc>
      </w:tr>
      <w:tr>
        <w:tblPrEx>
          <w:tblCellMar>
            <w:top w:w="0" w:type="dxa"/>
            <w:left w:w="0" w:type="dxa"/>
            <w:bottom w:w="0" w:type="dxa"/>
            <w:right w:w="0" w:type="dxa"/>
          </w:tblCellMar>
        </w:tblPrEx>
        <w:trPr>
          <w:gridBefore w:val="1"/>
          <w:wBefore w:w="9" w:type="dxa"/>
          <w:trHeight w:val="514"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21</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小篮球</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240" w:lineRule="exact"/>
              <w:jc w:val="center"/>
              <w:textAlignment w:val="auto"/>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符合GB/T19851.4-2005标准5号比赛篮球合格品的要求。</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178</w:t>
            </w:r>
          </w:p>
        </w:tc>
      </w:tr>
      <w:tr>
        <w:tblPrEx>
          <w:tblCellMar>
            <w:top w:w="0" w:type="dxa"/>
            <w:left w:w="0" w:type="dxa"/>
            <w:bottom w:w="0" w:type="dxa"/>
            <w:right w:w="0" w:type="dxa"/>
          </w:tblCellMar>
        </w:tblPrEx>
        <w:trPr>
          <w:gridBefore w:val="1"/>
          <w:wBefore w:w="9" w:type="dxa"/>
          <w:trHeight w:val="501"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22</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篮球</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pStyle w:val="3"/>
              <w:shd w:val="clear" w:color="auto" w:fill="FFFFFF"/>
              <w:spacing w:after="207" w:line="323" w:lineRule="atLeast"/>
              <w:jc w:val="both"/>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符合GB/T19851.4-2005中7号标准比赛篮球合格品的要求。</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346</w:t>
            </w:r>
          </w:p>
        </w:tc>
      </w:tr>
      <w:tr>
        <w:tblPrEx>
          <w:tblCellMar>
            <w:top w:w="0" w:type="dxa"/>
            <w:left w:w="0" w:type="dxa"/>
            <w:bottom w:w="0" w:type="dxa"/>
            <w:right w:w="0" w:type="dxa"/>
          </w:tblCellMar>
        </w:tblPrEx>
        <w:trPr>
          <w:gridBefore w:val="1"/>
          <w:wBefore w:w="9" w:type="dxa"/>
          <w:trHeight w:val="2174"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val="en-US" w:eastAsia="zh-CN" w:bidi="ar-SA"/>
              </w:rPr>
              <w:t>23</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eastAsia="zh-CN"/>
              </w:rPr>
              <w:t>篮球架</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1.篮球架符合GB19851.3</w:t>
            </w:r>
            <w:r>
              <w:rPr>
                <w:rFonts w:hint="eastAsia" w:ascii="宋体" w:hAnsi="宋体" w:eastAsia="宋体" w:cs="宋体"/>
                <w:color w:val="auto"/>
                <w:sz w:val="21"/>
                <w:szCs w:val="21"/>
                <w:lang w:eastAsia="zh-CN"/>
              </w:rPr>
              <w:t>-2005</w:t>
            </w:r>
            <w:r>
              <w:rPr>
                <w:rFonts w:hint="eastAsia" w:ascii="宋体" w:hAnsi="宋体" w:eastAsia="宋体" w:cs="宋体"/>
                <w:color w:val="auto"/>
                <w:sz w:val="21"/>
                <w:szCs w:val="21"/>
              </w:rPr>
              <w:t>和GB19272要求2.篮球架型式：单臂地埋固定式。加厚、加大立柱。</w:t>
            </w:r>
          </w:p>
          <w:p>
            <w:pPr>
              <w:rPr>
                <w:rFonts w:hint="eastAsia" w:ascii="宋体" w:hAnsi="宋体" w:eastAsia="宋体" w:cs="宋体"/>
                <w:color w:val="auto"/>
                <w:sz w:val="21"/>
                <w:szCs w:val="21"/>
              </w:rPr>
            </w:pPr>
            <w:r>
              <w:rPr>
                <w:rFonts w:hint="eastAsia" w:ascii="宋体" w:hAnsi="宋体" w:eastAsia="宋体" w:cs="宋体"/>
                <w:color w:val="auto"/>
                <w:sz w:val="21"/>
                <w:szCs w:val="21"/>
              </w:rPr>
              <w:t>3.篮板：采用12mm厚防爆有机玻璃或钢化玻璃的篮板四周有铝合金边框保护。</w:t>
            </w:r>
          </w:p>
          <w:p>
            <w:pPr>
              <w:rPr>
                <w:rFonts w:hint="eastAsia" w:ascii="宋体" w:hAnsi="宋体" w:eastAsia="宋体" w:cs="宋体"/>
                <w:color w:val="auto"/>
                <w:sz w:val="21"/>
                <w:szCs w:val="21"/>
              </w:rPr>
            </w:pPr>
            <w:r>
              <w:rPr>
                <w:rFonts w:hint="eastAsia" w:ascii="宋体" w:hAnsi="宋体" w:eastAsia="宋体" w:cs="宋体"/>
                <w:color w:val="auto"/>
                <w:sz w:val="21"/>
                <w:szCs w:val="21"/>
              </w:rPr>
              <w:t>4.五金件:螺钉,螺母为防锈钢件防锈级别与器材使用寿命相匹配,并加防盗帽。</w:t>
            </w:r>
          </w:p>
          <w:p>
            <w:pPr>
              <w:widowControl/>
              <w:wordWrap w:val="0"/>
              <w:spacing w:line="240" w:lineRule="atLeast"/>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5.安全性能：框架与配重设计合理，符合力学和相关安全标准。</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eastAsia="zh-CN"/>
              </w:rPr>
              <w:t>副</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val="en-US" w:eastAsia="zh-CN"/>
              </w:rPr>
              <w:t>7</w:t>
            </w:r>
          </w:p>
        </w:tc>
      </w:tr>
      <w:tr>
        <w:tblPrEx>
          <w:tblCellMar>
            <w:top w:w="0" w:type="dxa"/>
            <w:left w:w="0" w:type="dxa"/>
            <w:bottom w:w="0" w:type="dxa"/>
            <w:right w:w="0" w:type="dxa"/>
          </w:tblCellMar>
        </w:tblPrEx>
        <w:trPr>
          <w:gridBefore w:val="1"/>
          <w:wBefore w:w="9" w:type="dxa"/>
          <w:trHeight w:val="2290"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24</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篮球架</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1.篮球架符合GB19851.3</w:t>
            </w:r>
            <w:r>
              <w:rPr>
                <w:rFonts w:hint="eastAsia" w:ascii="宋体" w:hAnsi="宋体" w:eastAsia="宋体" w:cs="宋体"/>
                <w:color w:val="auto"/>
                <w:sz w:val="21"/>
                <w:szCs w:val="21"/>
                <w:lang w:eastAsia="zh-CN"/>
              </w:rPr>
              <w:t>-2005</w:t>
            </w:r>
            <w:r>
              <w:rPr>
                <w:rFonts w:hint="eastAsia" w:ascii="宋体" w:hAnsi="宋体" w:eastAsia="宋体" w:cs="宋体"/>
                <w:color w:val="auto"/>
                <w:sz w:val="21"/>
                <w:szCs w:val="21"/>
              </w:rPr>
              <w:t>和GB19272要求2.篮球架型式：2米*1米平箱式。加厚钢板，专业仿液压加固双弯梁篮球架。</w:t>
            </w:r>
          </w:p>
          <w:p>
            <w:pPr>
              <w:rPr>
                <w:rFonts w:hint="eastAsia" w:ascii="宋体" w:hAnsi="宋体" w:eastAsia="宋体" w:cs="宋体"/>
                <w:color w:val="auto"/>
                <w:sz w:val="21"/>
                <w:szCs w:val="21"/>
              </w:rPr>
            </w:pPr>
            <w:r>
              <w:rPr>
                <w:rFonts w:hint="eastAsia" w:ascii="宋体" w:hAnsi="宋体" w:eastAsia="宋体" w:cs="宋体"/>
                <w:color w:val="auto"/>
                <w:sz w:val="21"/>
                <w:szCs w:val="21"/>
              </w:rPr>
              <w:t>3.篮板：采用12mm厚有机玻璃、钢化玻璃的篮板四周有铝合金边框保护。</w:t>
            </w:r>
          </w:p>
          <w:p>
            <w:pPr>
              <w:rPr>
                <w:rFonts w:hint="eastAsia" w:ascii="宋体" w:hAnsi="宋体" w:eastAsia="宋体" w:cs="宋体"/>
                <w:color w:val="auto"/>
                <w:sz w:val="21"/>
                <w:szCs w:val="21"/>
              </w:rPr>
            </w:pPr>
            <w:r>
              <w:rPr>
                <w:rFonts w:hint="eastAsia" w:ascii="宋体" w:hAnsi="宋体" w:eastAsia="宋体" w:cs="宋体"/>
                <w:color w:val="auto"/>
                <w:sz w:val="21"/>
                <w:szCs w:val="21"/>
              </w:rPr>
              <w:t>4.五金件:螺钉,螺母为防锈钢件防锈级别与器材使用寿命相匹配,并加防盗帽。</w:t>
            </w:r>
          </w:p>
          <w:p>
            <w:pPr>
              <w:widowControl/>
              <w:wordWrap w:val="0"/>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5.安全性能：框架与配重设计合理，符合力学和相关安全标准。</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副</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25</w:t>
            </w:r>
          </w:p>
        </w:tc>
        <w:tc>
          <w:tcPr>
            <w:tcW w:w="966"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足球</w:t>
            </w:r>
          </w:p>
        </w:tc>
        <w:tc>
          <w:tcPr>
            <w:tcW w:w="6727" w:type="dxa"/>
            <w:gridSpan w:val="2"/>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t>4号，圆周长615mm～650mm；质量315g～405g。符合GB/T 22892-2008</w:t>
            </w:r>
            <w:r>
              <w:rPr>
                <w:rFonts w:hint="eastAsia" w:ascii="宋体" w:hAnsi="宋体" w:eastAsia="宋体" w:cs="宋体"/>
                <w:color w:val="auto"/>
                <w:sz w:val="21"/>
                <w:szCs w:val="21"/>
              </w:rPr>
              <w:t>。</w:t>
            </w:r>
          </w:p>
        </w:tc>
        <w:tc>
          <w:tcPr>
            <w:tcW w:w="70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131</w:t>
            </w:r>
          </w:p>
        </w:tc>
      </w:tr>
      <w:tr>
        <w:tblPrEx>
          <w:tblCellMar>
            <w:top w:w="0" w:type="dxa"/>
            <w:left w:w="0" w:type="dxa"/>
            <w:bottom w:w="0" w:type="dxa"/>
            <w:right w:w="0" w:type="dxa"/>
          </w:tblCellMar>
        </w:tblPrEx>
        <w:trPr>
          <w:gridBefore w:val="1"/>
          <w:wBefore w:w="9" w:type="dxa"/>
          <w:trHeight w:val="514"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26</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足球</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90" w:lineRule="atLeast"/>
              <w:rPr>
                <w:rFonts w:hint="eastAsia" w:ascii="宋体" w:hAnsi="宋体" w:eastAsia="宋体" w:cs="宋体"/>
                <w:color w:val="auto"/>
                <w:spacing w:val="8"/>
                <w:kern w:val="0"/>
                <w:sz w:val="24"/>
                <w:szCs w:val="24"/>
                <w:lang w:eastAsia="zh-CN"/>
              </w:rPr>
            </w:pPr>
            <w:r>
              <w:rPr>
                <w:rFonts w:hint="eastAsia" w:ascii="宋体" w:hAnsi="宋体" w:eastAsia="宋体" w:cs="宋体"/>
                <w:color w:val="auto"/>
                <w:sz w:val="21"/>
                <w:szCs w:val="21"/>
              </w:rPr>
              <w:t>符合GB/T 22892</w:t>
            </w:r>
            <w:r>
              <w:rPr>
                <w:rFonts w:hint="eastAsia" w:ascii="宋体" w:hAnsi="宋体" w:eastAsia="宋体" w:cs="宋体"/>
                <w:i w:val="0"/>
                <w:color w:val="auto"/>
                <w:kern w:val="0"/>
                <w:sz w:val="21"/>
                <w:szCs w:val="21"/>
                <w:u w:val="none"/>
                <w:lang w:val="en-US" w:eastAsia="zh-CN" w:bidi="ar"/>
              </w:rPr>
              <w:t>-2008</w:t>
            </w:r>
            <w:r>
              <w:rPr>
                <w:rFonts w:hint="eastAsia" w:ascii="宋体" w:hAnsi="宋体" w:eastAsia="宋体" w:cs="宋体"/>
                <w:color w:val="auto"/>
                <w:sz w:val="21"/>
                <w:szCs w:val="21"/>
              </w:rPr>
              <w:t>中5#合格品球的要求。</w:t>
            </w:r>
            <w:r>
              <w:rPr>
                <w:rFonts w:hint="eastAsia" w:ascii="宋体" w:hAnsi="宋体" w:eastAsia="宋体" w:cs="宋体"/>
                <w:i w:val="0"/>
                <w:color w:val="auto"/>
                <w:kern w:val="0"/>
                <w:sz w:val="21"/>
                <w:szCs w:val="21"/>
                <w:u w:val="none"/>
                <w:lang w:val="en-US" w:eastAsia="zh-CN" w:bidi="ar"/>
              </w:rPr>
              <w:t>圆周长675mm～710mm；质量382g～468g</w:t>
            </w:r>
            <w:r>
              <w:rPr>
                <w:rFonts w:hint="eastAsia" w:ascii="宋体" w:hAnsi="宋体" w:eastAsia="宋体" w:cs="宋体"/>
                <w:color w:val="auto"/>
                <w:sz w:val="21"/>
                <w:szCs w:val="21"/>
              </w:rPr>
              <w:t>。</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171</w:t>
            </w:r>
          </w:p>
        </w:tc>
      </w:tr>
      <w:tr>
        <w:tblPrEx>
          <w:tblCellMar>
            <w:top w:w="0" w:type="dxa"/>
            <w:left w:w="0" w:type="dxa"/>
            <w:bottom w:w="0" w:type="dxa"/>
            <w:right w:w="0" w:type="dxa"/>
          </w:tblCellMar>
        </w:tblPrEx>
        <w:trPr>
          <w:gridBefore w:val="1"/>
          <w:wBefore w:w="9" w:type="dxa"/>
          <w:trHeight w:val="587"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27</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足球门</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i w:val="0"/>
                <w:color w:val="auto"/>
                <w:kern w:val="0"/>
                <w:sz w:val="21"/>
                <w:szCs w:val="21"/>
                <w:u w:val="none"/>
                <w:lang w:val="en-US" w:eastAsia="zh-CN" w:bidi="ar"/>
              </w:rPr>
            </w:pPr>
          </w:p>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t>2号足球门，门内口宽度5500mm±10mm，高度2000mm±10mm，门柱及横梁直径不小于89mm。足球门应能承受的水平拉力1000N，足球门横梁应能承受2700N的静负荷.</w:t>
            </w:r>
            <w:r>
              <w:rPr>
                <w:rFonts w:hint="eastAsia" w:ascii="宋体" w:hAnsi="宋体" w:eastAsia="宋体" w:cs="宋体"/>
                <w:color w:val="auto"/>
                <w:sz w:val="21"/>
                <w:szCs w:val="21"/>
              </w:rPr>
              <w:t>符合</w:t>
            </w:r>
            <w:r>
              <w:rPr>
                <w:rFonts w:hint="eastAsia" w:ascii="宋体" w:hAnsi="宋体" w:eastAsia="宋体" w:cs="宋体"/>
                <w:i w:val="0"/>
                <w:color w:val="auto"/>
                <w:kern w:val="0"/>
                <w:sz w:val="21"/>
                <w:szCs w:val="21"/>
                <w:u w:val="none"/>
                <w:lang w:val="en-US" w:eastAsia="zh-CN" w:bidi="ar"/>
              </w:rPr>
              <w:t>GB/T 19851.15-2007</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副</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10</w:t>
            </w:r>
          </w:p>
        </w:tc>
      </w:tr>
      <w:tr>
        <w:tblPrEx>
          <w:tblCellMar>
            <w:top w:w="0" w:type="dxa"/>
            <w:left w:w="0" w:type="dxa"/>
            <w:bottom w:w="0" w:type="dxa"/>
            <w:right w:w="0" w:type="dxa"/>
          </w:tblCellMar>
        </w:tblPrEx>
        <w:trPr>
          <w:gridBefore w:val="1"/>
          <w:wBefore w:w="9" w:type="dxa"/>
          <w:trHeight w:val="587"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28</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exact"/>
              <w:jc w:val="center"/>
              <w:textAlignment w:val="auto"/>
              <w:rPr>
                <w:rFonts w:hint="eastAsia" w:ascii="宋体" w:hAnsi="宋体" w:eastAsia="宋体" w:cs="宋体"/>
                <w:color w:val="auto"/>
                <w:spacing w:val="-15"/>
                <w:kern w:val="0"/>
                <w:sz w:val="24"/>
                <w:szCs w:val="24"/>
                <w:lang w:val="en-US" w:eastAsia="zh-CN" w:bidi="ar-SA"/>
              </w:rPr>
            </w:pPr>
            <w:r>
              <w:rPr>
                <w:rFonts w:hint="eastAsia" w:ascii="宋体" w:hAnsi="宋体" w:eastAsia="宋体" w:cs="宋体"/>
                <w:color w:val="auto"/>
                <w:spacing w:val="-15"/>
                <w:kern w:val="0"/>
                <w:sz w:val="24"/>
                <w:szCs w:val="24"/>
                <w:lang w:eastAsia="zh-CN"/>
              </w:rPr>
              <w:t>羽毛球拍</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i w:val="0"/>
                <w:color w:val="auto"/>
                <w:kern w:val="0"/>
                <w:sz w:val="21"/>
                <w:szCs w:val="21"/>
                <w:u w:val="none"/>
                <w:lang w:val="en-US" w:eastAsia="zh-CN" w:bidi="ar"/>
              </w:rPr>
            </w:pPr>
          </w:p>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4"/>
                <w:szCs w:val="24"/>
                <w:lang w:val="en-US" w:eastAsia="zh-CN" w:bidi="ar-SA"/>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总长度≤580mm，宽度≤230mm，拍弦面长度≤280mm，质量≤80g,握柄直径23mm～25mm</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19851.9-2005</w:t>
            </w:r>
            <w:r>
              <w:rPr>
                <w:rFonts w:hint="eastAsia" w:ascii="宋体" w:hAnsi="宋体" w:eastAsia="宋体" w:cs="宋体"/>
                <w:color w:val="auto"/>
                <w:sz w:val="21"/>
                <w:szCs w:val="21"/>
                <w:lang w:eastAsia="zh-CN"/>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exact"/>
              <w:jc w:val="center"/>
              <w:textAlignment w:val="auto"/>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val="en-US" w:eastAsia="zh-CN" w:bidi="ar-SA"/>
              </w:rPr>
              <w:t>付</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auto"/>
              <w:jc w:val="center"/>
              <w:textAlignment w:val="auto"/>
              <w:rPr>
                <w:rFonts w:hint="eastAsia" w:ascii="宋体" w:hAnsi="宋体" w:eastAsia="宋体" w:cs="宋体"/>
                <w:color w:val="auto"/>
                <w:spacing w:val="8"/>
                <w:kern w:val="0"/>
                <w:sz w:val="24"/>
                <w:szCs w:val="24"/>
                <w:lang w:val="en-US" w:eastAsia="zh-CN" w:bidi="ar-SA"/>
              </w:rPr>
            </w:pPr>
            <w:r>
              <w:rPr>
                <w:rFonts w:hint="eastAsia" w:ascii="宋体" w:hAnsi="宋体" w:eastAsia="宋体" w:cs="宋体"/>
                <w:color w:val="auto"/>
                <w:spacing w:val="8"/>
                <w:kern w:val="0"/>
                <w:sz w:val="24"/>
                <w:szCs w:val="24"/>
                <w:lang w:val="en-US" w:eastAsia="zh-CN"/>
              </w:rPr>
              <w:t>40</w:t>
            </w:r>
          </w:p>
        </w:tc>
      </w:tr>
      <w:tr>
        <w:tblPrEx>
          <w:tblCellMar>
            <w:top w:w="0" w:type="dxa"/>
            <w:left w:w="0" w:type="dxa"/>
            <w:bottom w:w="0" w:type="dxa"/>
            <w:right w:w="0" w:type="dxa"/>
          </w:tblCellMar>
        </w:tblPrEx>
        <w:trPr>
          <w:gridBefore w:val="1"/>
          <w:wBefore w:w="9" w:type="dxa"/>
          <w:trHeight w:val="721" w:hRule="atLeast"/>
        </w:trPr>
        <w:tc>
          <w:tcPr>
            <w:tcW w:w="632" w:type="dxa"/>
            <w:tcBorders>
              <w:top w:val="single" w:color="auto" w:sz="4"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29</w:t>
            </w:r>
          </w:p>
        </w:tc>
        <w:tc>
          <w:tcPr>
            <w:tcW w:w="966"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软式排球</w:t>
            </w:r>
          </w:p>
        </w:tc>
        <w:tc>
          <w:tcPr>
            <w:tcW w:w="6727" w:type="dxa"/>
            <w:gridSpan w:val="2"/>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rPr>
                <w:rFonts w:hint="eastAsia" w:ascii="宋体" w:hAnsi="宋体" w:eastAsia="宋体" w:cs="宋体"/>
                <w:color w:val="auto"/>
                <w:spacing w:val="8"/>
                <w:kern w:val="0"/>
                <w:sz w:val="24"/>
                <w:szCs w:val="24"/>
                <w:lang w:eastAsia="zh-CN"/>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4号：圆周长600mm～620mm,质量200g～250g</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19851.6-2005</w:t>
            </w:r>
          </w:p>
        </w:tc>
        <w:tc>
          <w:tcPr>
            <w:tcW w:w="70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eastAsia="zh-CN"/>
              </w:rPr>
              <w:t>个</w:t>
            </w:r>
          </w:p>
        </w:tc>
        <w:tc>
          <w:tcPr>
            <w:tcW w:w="73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90</w:t>
            </w:r>
          </w:p>
        </w:tc>
      </w:tr>
      <w:tr>
        <w:tblPrEx>
          <w:tblCellMar>
            <w:top w:w="0" w:type="dxa"/>
            <w:left w:w="0" w:type="dxa"/>
            <w:bottom w:w="0" w:type="dxa"/>
            <w:right w:w="0" w:type="dxa"/>
          </w:tblCellMar>
        </w:tblPrEx>
        <w:trPr>
          <w:gridBefore w:val="1"/>
          <w:wBefore w:w="9" w:type="dxa"/>
          <w:trHeight w:val="514"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30</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distribute"/>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排球网架</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t>移动配重式，可调，网柱高度：1920mm±5mm，拉网中央高度1800mm±5mm。符合GB/T 19851.13-2007</w:t>
            </w:r>
            <w:r>
              <w:rPr>
                <w:rFonts w:hint="eastAsia" w:ascii="宋体" w:hAnsi="宋体" w:eastAsia="宋体" w:cs="宋体"/>
                <w:color w:val="auto"/>
                <w:sz w:val="21"/>
                <w:szCs w:val="21"/>
                <w:lang w:eastAsia="zh-CN"/>
              </w:rPr>
              <w:t>。</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付</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val="en-US" w:eastAsia="zh-CN"/>
              </w:rPr>
              <w:t>9</w:t>
            </w:r>
          </w:p>
        </w:tc>
      </w:tr>
      <w:tr>
        <w:tblPrEx>
          <w:tblCellMar>
            <w:top w:w="0" w:type="dxa"/>
            <w:left w:w="0" w:type="dxa"/>
            <w:bottom w:w="0" w:type="dxa"/>
            <w:right w:w="0" w:type="dxa"/>
          </w:tblCellMar>
        </w:tblPrEx>
        <w:trPr>
          <w:gridBefore w:val="1"/>
          <w:wBefore w:w="9" w:type="dxa"/>
          <w:trHeight w:val="1490" w:hRule="atLeast"/>
        </w:trPr>
        <w:tc>
          <w:tcPr>
            <w:tcW w:w="632" w:type="dxa"/>
            <w:tcBorders>
              <w:top w:val="nil"/>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31</w:t>
            </w:r>
          </w:p>
        </w:tc>
        <w:tc>
          <w:tcPr>
            <w:tcW w:w="966"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乒乓球台</w:t>
            </w:r>
          </w:p>
        </w:tc>
        <w:tc>
          <w:tcPr>
            <w:tcW w:w="6727" w:type="dxa"/>
            <w:gridSpan w:val="2"/>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1.户外乒乓球台；能满足学校体育教学、训练需要应符合GB/T 19851.7- 2005的要求。球台长度2340mm；宽度1300mm；高度640mm</w:t>
            </w:r>
          </w:p>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2.台面采用整张台面组成或由两个半张台面组成两种类型。</w:t>
            </w:r>
          </w:p>
          <w:p>
            <w:pPr>
              <w:widowControl/>
              <w:wordWrap w:val="0"/>
              <w:rPr>
                <w:rFonts w:hint="eastAsia" w:ascii="宋体" w:hAnsi="宋体" w:eastAsia="宋体" w:cs="宋体"/>
                <w:color w:val="auto"/>
                <w:spacing w:val="8"/>
                <w:kern w:val="0"/>
                <w:sz w:val="24"/>
                <w:szCs w:val="24"/>
              </w:rPr>
            </w:pPr>
            <w:r>
              <w:rPr>
                <w:rFonts w:hint="eastAsia" w:ascii="宋体" w:hAnsi="宋体" w:eastAsia="宋体" w:cs="宋体"/>
                <w:color w:val="auto"/>
                <w:sz w:val="21"/>
                <w:szCs w:val="21"/>
              </w:rPr>
              <w:t>3.球台面板选用除玻璃钢、水泥、石材、金属类材料以外的适宜室外使用的材料。</w:t>
            </w:r>
          </w:p>
        </w:tc>
        <w:tc>
          <w:tcPr>
            <w:tcW w:w="70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张</w:t>
            </w:r>
          </w:p>
        </w:tc>
        <w:tc>
          <w:tcPr>
            <w:tcW w:w="735" w:type="dxa"/>
            <w:tcBorders>
              <w:top w:val="nil"/>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72</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32</w:t>
            </w:r>
          </w:p>
        </w:tc>
        <w:tc>
          <w:tcPr>
            <w:tcW w:w="966"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排球网</w:t>
            </w:r>
          </w:p>
        </w:tc>
        <w:tc>
          <w:tcPr>
            <w:tcW w:w="6727" w:type="dxa"/>
            <w:gridSpan w:val="2"/>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t>排球网长度9500mm～10000mm，宽度700mm±25mm.符合GB/T 19851.14-2007</w:t>
            </w:r>
          </w:p>
        </w:tc>
        <w:tc>
          <w:tcPr>
            <w:tcW w:w="70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付</w:t>
            </w:r>
          </w:p>
        </w:tc>
        <w:tc>
          <w:tcPr>
            <w:tcW w:w="73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uto"/>
              <w:jc w:val="center"/>
              <w:rPr>
                <w:rFonts w:hint="eastAsia" w:ascii="宋体" w:hAnsi="宋体" w:eastAsia="宋体" w:cs="宋体"/>
                <w:color w:val="auto"/>
                <w:spacing w:val="8"/>
                <w:kern w:val="0"/>
                <w:sz w:val="24"/>
                <w:szCs w:val="24"/>
                <w:lang w:eastAsia="zh-CN"/>
              </w:rPr>
            </w:pPr>
            <w:r>
              <w:rPr>
                <w:rFonts w:hint="eastAsia" w:ascii="宋体" w:hAnsi="宋体" w:eastAsia="宋体" w:cs="宋体"/>
                <w:color w:val="auto"/>
                <w:spacing w:val="8"/>
                <w:kern w:val="0"/>
                <w:sz w:val="24"/>
                <w:szCs w:val="24"/>
                <w:lang w:val="en-US" w:eastAsia="zh-CN"/>
              </w:rPr>
              <w:t>9</w:t>
            </w:r>
          </w:p>
        </w:tc>
      </w:tr>
      <w:tr>
        <w:tblPrEx>
          <w:tblCellMar>
            <w:top w:w="0" w:type="dxa"/>
            <w:left w:w="0" w:type="dxa"/>
            <w:bottom w:w="0" w:type="dxa"/>
            <w:right w:w="0" w:type="dxa"/>
          </w:tblCellMar>
        </w:tblPrEx>
        <w:trPr>
          <w:gridBefore w:val="1"/>
          <w:wBefore w:w="9" w:type="dxa"/>
          <w:trHeight w:val="977" w:hRule="atLeast"/>
        </w:trPr>
        <w:tc>
          <w:tcPr>
            <w:tcW w:w="632" w:type="dxa"/>
            <w:tcBorders>
              <w:top w:val="nil"/>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33</w:t>
            </w:r>
          </w:p>
        </w:tc>
        <w:tc>
          <w:tcPr>
            <w:tcW w:w="966"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15"/>
                <w:kern w:val="0"/>
                <w:sz w:val="24"/>
                <w:szCs w:val="24"/>
              </w:rPr>
              <w:t>乒乓球拍</w:t>
            </w:r>
          </w:p>
        </w:tc>
        <w:tc>
          <w:tcPr>
            <w:tcW w:w="6727" w:type="dxa"/>
            <w:gridSpan w:val="2"/>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i w:val="0"/>
                <w:color w:val="auto"/>
                <w:kern w:val="0"/>
                <w:sz w:val="21"/>
                <w:szCs w:val="21"/>
                <w:u w:val="none"/>
                <w:lang w:val="en-US" w:eastAsia="zh-CN" w:bidi="ar"/>
              </w:rPr>
            </w:pPr>
          </w:p>
          <w:p>
            <w:pPr>
              <w:keepNext w:val="0"/>
              <w:keepLines w:val="0"/>
              <w:pageBreakBefore w:val="0"/>
              <w:kinsoku/>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fldChar w:fldCharType="begin"/>
            </w:r>
            <w:r>
              <w:rPr>
                <w:rFonts w:hint="eastAsia" w:ascii="宋体" w:hAnsi="宋体" w:eastAsia="宋体" w:cs="宋体"/>
                <w:i w:val="0"/>
                <w:color w:val="auto"/>
                <w:kern w:val="0"/>
                <w:sz w:val="21"/>
                <w:szCs w:val="21"/>
                <w:u w:val="none"/>
                <w:lang w:val="en-US" w:eastAsia="zh-CN" w:bidi="ar"/>
              </w:rPr>
              <w:instrText xml:space="preserve"> HYPERLINK "http://www.spsp.gov.cn/page/FO/1986/KS G5737-1986.shtml" </w:instrText>
            </w:r>
            <w:r>
              <w:rPr>
                <w:rFonts w:hint="eastAsia" w:ascii="宋体" w:hAnsi="宋体" w:eastAsia="宋体" w:cs="宋体"/>
                <w:i w:val="0"/>
                <w:color w:val="auto"/>
                <w:kern w:val="0"/>
                <w:sz w:val="21"/>
                <w:szCs w:val="21"/>
                <w:u w:val="none"/>
                <w:lang w:val="en-US" w:eastAsia="zh-CN" w:bidi="ar"/>
              </w:rPr>
              <w:fldChar w:fldCharType="separate"/>
            </w:r>
            <w:r>
              <w:rPr>
                <w:rStyle w:val="7"/>
                <w:rFonts w:hint="eastAsia" w:ascii="宋体" w:hAnsi="宋体" w:eastAsia="宋体" w:cs="宋体"/>
                <w:i w:val="0"/>
                <w:color w:val="auto"/>
                <w:sz w:val="21"/>
                <w:szCs w:val="21"/>
                <w:u w:val="none"/>
              </w:rPr>
              <w:t>用来击球的拍面应用一层齿粒向外的胶粒片覆盖，连同粘合剂，厚度应不超过2mm，或者用齿粒向内或向外的海绵胶粒片覆盖，连同粘合剂，厚度应不超过4mm。底板与胶粒片或海绵胶粒片的粘接结合力应≥4N</w:t>
            </w:r>
            <w:r>
              <w:rPr>
                <w:rFonts w:hint="eastAsia" w:ascii="宋体" w:hAnsi="宋体" w:eastAsia="宋体" w:cs="宋体"/>
                <w:i w:val="0"/>
                <w:color w:val="auto"/>
                <w:kern w:val="0"/>
                <w:sz w:val="21"/>
                <w:szCs w:val="21"/>
                <w:u w:val="none"/>
                <w:lang w:val="en-US" w:eastAsia="zh-CN" w:bidi="ar"/>
              </w:rPr>
              <w:fldChar w:fldCharType="end"/>
            </w:r>
            <w:r>
              <w:rPr>
                <w:rFonts w:hint="eastAsia" w:ascii="宋体" w:hAnsi="宋体" w:eastAsia="宋体" w:cs="宋体"/>
                <w:i w:val="0"/>
                <w:color w:val="auto"/>
                <w:kern w:val="0"/>
                <w:sz w:val="21"/>
                <w:szCs w:val="21"/>
                <w:u w:val="none"/>
                <w:lang w:val="en-US" w:eastAsia="zh-CN" w:bidi="ar"/>
              </w:rPr>
              <w:t>。符合GB/T 23115-2008</w:t>
            </w:r>
          </w:p>
        </w:tc>
        <w:tc>
          <w:tcPr>
            <w:tcW w:w="70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付</w:t>
            </w:r>
          </w:p>
        </w:tc>
        <w:tc>
          <w:tcPr>
            <w:tcW w:w="73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175</w:t>
            </w:r>
          </w:p>
        </w:tc>
      </w:tr>
      <w:tr>
        <w:tblPrEx>
          <w:tblCellMar>
            <w:top w:w="0" w:type="dxa"/>
            <w:left w:w="0" w:type="dxa"/>
            <w:bottom w:w="0" w:type="dxa"/>
            <w:right w:w="0" w:type="dxa"/>
          </w:tblCellMar>
        </w:tblPrEx>
        <w:trPr>
          <w:gridBefore w:val="1"/>
          <w:wBefore w:w="9" w:type="dxa"/>
          <w:trHeight w:val="765"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34</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坐位体前屈仪</w:t>
            </w:r>
          </w:p>
        </w:tc>
        <w:tc>
          <w:tcPr>
            <w:tcW w:w="6727" w:type="dxa"/>
            <w:gridSpan w:val="2"/>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t>量程：-20cm～35cm，分度值0.1cm，允差：±0.2cm。符合GB/T 19851.12-2005</w:t>
            </w:r>
            <w:r>
              <w:rPr>
                <w:rFonts w:hint="eastAsia" w:ascii="宋体" w:hAnsi="宋体" w:eastAsia="宋体" w:cs="宋体"/>
                <w:color w:val="auto"/>
                <w:sz w:val="21"/>
                <w:szCs w:val="21"/>
              </w:rPr>
              <w:t>。</w:t>
            </w:r>
          </w:p>
        </w:tc>
        <w:tc>
          <w:tcPr>
            <w:tcW w:w="70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套</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29</w:t>
            </w:r>
          </w:p>
        </w:tc>
      </w:tr>
      <w:tr>
        <w:tblPrEx>
          <w:tblCellMar>
            <w:top w:w="0" w:type="dxa"/>
            <w:left w:w="0" w:type="dxa"/>
            <w:bottom w:w="0" w:type="dxa"/>
            <w:right w:w="0" w:type="dxa"/>
          </w:tblCellMar>
        </w:tblPrEx>
        <w:trPr>
          <w:gridBefore w:val="1"/>
          <w:wBefore w:w="9" w:type="dxa"/>
          <w:trHeight w:val="1706"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35</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移动音响</w:t>
            </w:r>
          </w:p>
        </w:tc>
        <w:tc>
          <w:tcPr>
            <w:tcW w:w="6727" w:type="dxa"/>
            <w:gridSpan w:val="2"/>
            <w:tcBorders>
              <w:top w:val="single" w:color="auto" w:sz="4" w:space="0"/>
              <w:left w:val="nil"/>
              <w:bottom w:val="single" w:color="auto" w:sz="4" w:space="0"/>
              <w:right w:val="single" w:color="auto" w:sz="4" w:space="0"/>
            </w:tcBorders>
            <w:shd w:val="clear" w:color="auto" w:fill="FFFFFF"/>
            <w:noWrap w:val="0"/>
            <w:tcMar>
              <w:top w:w="0" w:type="dxa"/>
              <w:left w:w="105" w:type="dxa"/>
              <w:bottom w:w="0" w:type="dxa"/>
              <w:right w:w="105" w:type="dxa"/>
            </w:tcMar>
            <w:vAlign w:val="center"/>
          </w:tcPr>
          <w:p>
            <w:pPr>
              <w:keepNext w:val="0"/>
              <w:keepLines w:val="0"/>
              <w:pageBreakBefore w:val="0"/>
              <w:widowControl/>
              <w:kinsoku/>
              <w:wordWrap w:val="0"/>
              <w:overflowPunct/>
              <w:topLinePunct w:val="0"/>
              <w:autoSpaceDE/>
              <w:autoSpaceDN/>
              <w:bidi w:val="0"/>
              <w:adjustRightInd/>
              <w:snapToGrid/>
              <w:spacing w:line="240" w:lineRule="exact"/>
              <w:textAlignment w:val="auto"/>
              <w:rPr>
                <w:rFonts w:hint="eastAsia" w:ascii="宋体" w:hAnsi="宋体" w:eastAsia="宋体" w:cs="宋体"/>
                <w:color w:val="auto"/>
                <w:spacing w:val="8"/>
                <w:kern w:val="0"/>
                <w:sz w:val="21"/>
                <w:szCs w:val="21"/>
                <w:lang w:val="en-US" w:eastAsia="zh-CN"/>
              </w:rPr>
            </w:pPr>
          </w:p>
          <w:p>
            <w:pP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1"/>
                <w:szCs w:val="21"/>
                <w:lang w:val="en-US" w:eastAsia="zh-CN"/>
              </w:rPr>
              <w:t>续航使用时间不少于6小时，加固铝合金拉杆，坚固大脚轮；12寸重低音，录音功能、智能语音，支持蓝牙、U盘、TF卡，支持有线话筒、无线话筒。外形高度不少于46cm。</w:t>
            </w:r>
          </w:p>
        </w:tc>
        <w:tc>
          <w:tcPr>
            <w:tcW w:w="705" w:type="dxa"/>
            <w:tcBorders>
              <w:top w:val="single" w:color="auto" w:sz="4" w:space="0"/>
              <w:left w:val="nil"/>
              <w:bottom w:val="single" w:color="auto" w:sz="4" w:space="0"/>
              <w:right w:val="single" w:color="auto" w:sz="4"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台</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20</w:t>
            </w:r>
          </w:p>
        </w:tc>
      </w:tr>
      <w:tr>
        <w:tblPrEx>
          <w:tblCellMar>
            <w:top w:w="0" w:type="dxa"/>
            <w:left w:w="0" w:type="dxa"/>
            <w:bottom w:w="0" w:type="dxa"/>
            <w:right w:w="0" w:type="dxa"/>
          </w:tblCellMar>
        </w:tblPrEx>
        <w:trPr>
          <w:gridBefore w:val="1"/>
          <w:wBefore w:w="9" w:type="dxa"/>
          <w:trHeight w:val="510" w:hRule="atLeast"/>
        </w:trPr>
        <w:tc>
          <w:tcPr>
            <w:tcW w:w="632" w:type="dxa"/>
            <w:tcBorders>
              <w:top w:val="single" w:color="auto" w:sz="4" w:space="0"/>
              <w:left w:val="single" w:color="auto" w:sz="12" w:space="0"/>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36</w:t>
            </w:r>
          </w:p>
        </w:tc>
        <w:tc>
          <w:tcPr>
            <w:tcW w:w="966"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打气筒</w:t>
            </w:r>
          </w:p>
        </w:tc>
        <w:tc>
          <w:tcPr>
            <w:tcW w:w="6727" w:type="dxa"/>
            <w:gridSpan w:val="2"/>
            <w:tcBorders>
              <w:top w:val="single" w:color="auto" w:sz="4" w:space="0"/>
              <w:left w:val="nil"/>
              <w:bottom w:val="single" w:color="auto" w:sz="4" w:space="0"/>
              <w:right w:val="single" w:color="auto" w:sz="4"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color w:val="auto"/>
                <w:sz w:val="21"/>
                <w:szCs w:val="21"/>
              </w:rPr>
              <w:t>带储气罐/人工充气,适合给各种球类充气</w:t>
            </w:r>
          </w:p>
        </w:tc>
        <w:tc>
          <w:tcPr>
            <w:tcW w:w="705" w:type="dxa"/>
            <w:tcBorders>
              <w:top w:val="single" w:color="auto" w:sz="4" w:space="0"/>
              <w:left w:val="nil"/>
              <w:bottom w:val="single" w:color="auto" w:sz="4" w:space="0"/>
              <w:right w:val="single" w:color="auto" w:sz="4"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个</w:t>
            </w:r>
          </w:p>
        </w:tc>
        <w:tc>
          <w:tcPr>
            <w:tcW w:w="735" w:type="dxa"/>
            <w:tcBorders>
              <w:top w:val="single" w:color="auto" w:sz="4" w:space="0"/>
              <w:left w:val="nil"/>
              <w:bottom w:val="single" w:color="auto" w:sz="4"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rPr>
              <w:t>1</w:t>
            </w:r>
            <w:r>
              <w:rPr>
                <w:rFonts w:hint="eastAsia" w:ascii="宋体" w:hAnsi="宋体" w:eastAsia="宋体" w:cs="宋体"/>
                <w:color w:val="auto"/>
                <w:spacing w:val="8"/>
                <w:kern w:val="0"/>
                <w:sz w:val="24"/>
                <w:szCs w:val="24"/>
                <w:lang w:val="en-US" w:eastAsia="zh-CN"/>
              </w:rPr>
              <w:t>0</w:t>
            </w:r>
          </w:p>
        </w:tc>
      </w:tr>
      <w:tr>
        <w:tblPrEx>
          <w:tblCellMar>
            <w:top w:w="0" w:type="dxa"/>
            <w:left w:w="0" w:type="dxa"/>
            <w:bottom w:w="0" w:type="dxa"/>
            <w:right w:w="0" w:type="dxa"/>
          </w:tblCellMar>
        </w:tblPrEx>
        <w:trPr>
          <w:gridBefore w:val="1"/>
          <w:wBefore w:w="9" w:type="dxa"/>
          <w:trHeight w:val="1032" w:hRule="atLeast"/>
        </w:trPr>
        <w:tc>
          <w:tcPr>
            <w:tcW w:w="632" w:type="dxa"/>
            <w:tcBorders>
              <w:top w:val="single" w:color="auto" w:sz="4" w:space="0"/>
              <w:left w:val="single" w:color="auto" w:sz="12"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37</w:t>
            </w:r>
          </w:p>
        </w:tc>
        <w:tc>
          <w:tcPr>
            <w:tcW w:w="966"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身高体重计</w:t>
            </w:r>
          </w:p>
        </w:tc>
        <w:tc>
          <w:tcPr>
            <w:tcW w:w="6727" w:type="dxa"/>
            <w:gridSpan w:val="2"/>
            <w:tcBorders>
              <w:top w:val="single" w:color="auto" w:sz="4" w:space="0"/>
              <w:left w:val="nil"/>
              <w:bottom w:val="single" w:color="auto" w:sz="6" w:space="0"/>
              <w:right w:val="single" w:color="auto" w:sz="4" w:space="0"/>
            </w:tcBorders>
            <w:shd w:val="clear" w:color="auto" w:fill="FFFFFF"/>
            <w:noWrap w:val="0"/>
            <w:tcMar>
              <w:top w:w="0" w:type="dxa"/>
              <w:left w:w="105" w:type="dxa"/>
              <w:bottom w:w="0" w:type="dxa"/>
              <w:right w:w="105" w:type="dxa"/>
            </w:tcMar>
            <w:vAlign w:val="center"/>
          </w:tcPr>
          <w:p>
            <w:pPr>
              <w:widowControl/>
              <w:wordWrap w:val="0"/>
              <w:rPr>
                <w:rFonts w:hint="eastAsia" w:ascii="宋体" w:hAnsi="宋体" w:eastAsia="宋体" w:cs="宋体"/>
                <w:color w:val="auto"/>
                <w:spacing w:val="8"/>
                <w:kern w:val="0"/>
                <w:sz w:val="24"/>
                <w:szCs w:val="24"/>
              </w:rPr>
            </w:pPr>
            <w:r>
              <w:rPr>
                <w:rFonts w:hint="eastAsia" w:ascii="宋体" w:hAnsi="宋体" w:eastAsia="宋体" w:cs="宋体"/>
                <w:i w:val="0"/>
                <w:color w:val="auto"/>
                <w:kern w:val="0"/>
                <w:sz w:val="21"/>
                <w:szCs w:val="21"/>
                <w:u w:val="none"/>
                <w:lang w:val="en-US" w:eastAsia="zh-CN" w:bidi="ar"/>
              </w:rPr>
              <w:t>身高：量程：90cm～210cm，分度值0.1cm，允差：±0.2cm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体重：量程：5.0kg～150kg，分度值0.1kg，</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允差：±0.1kg  （≤100kg）</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  ±0.15kg （＞100kg）。符合GB/T 19851.12-2005</w:t>
            </w:r>
          </w:p>
        </w:tc>
        <w:tc>
          <w:tcPr>
            <w:tcW w:w="705" w:type="dxa"/>
            <w:tcBorders>
              <w:top w:val="single" w:color="auto" w:sz="4" w:space="0"/>
              <w:left w:val="nil"/>
              <w:bottom w:val="single" w:color="auto" w:sz="6" w:space="0"/>
              <w:right w:val="single" w:color="auto" w:sz="4" w:space="0"/>
            </w:tcBorders>
            <w:shd w:val="clear" w:color="auto" w:fill="FFFFFF"/>
            <w:noWrap w:val="0"/>
            <w:tcMar>
              <w:top w:w="0" w:type="dxa"/>
              <w:left w:w="105" w:type="dxa"/>
              <w:bottom w:w="0" w:type="dxa"/>
              <w:right w:w="105" w:type="dxa"/>
            </w:tcMar>
            <w:vAlign w:val="center"/>
          </w:tcPr>
          <w:p>
            <w:pPr>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台</w:t>
            </w:r>
          </w:p>
        </w:tc>
        <w:tc>
          <w:tcPr>
            <w:tcW w:w="735" w:type="dxa"/>
            <w:tcBorders>
              <w:top w:val="single" w:color="auto" w:sz="4"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pPr>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29</w:t>
            </w:r>
          </w:p>
        </w:tc>
      </w:tr>
      <w:tr>
        <w:tblPrEx>
          <w:tblCellMar>
            <w:top w:w="0" w:type="dxa"/>
            <w:left w:w="0" w:type="dxa"/>
            <w:bottom w:w="0" w:type="dxa"/>
            <w:right w:w="0" w:type="dxa"/>
          </w:tblCellMar>
        </w:tblPrEx>
        <w:trPr>
          <w:gridBefore w:val="1"/>
          <w:wBefore w:w="9" w:type="dxa"/>
          <w:trHeight w:val="2583" w:hRule="atLeast"/>
        </w:trPr>
        <w:tc>
          <w:tcPr>
            <w:tcW w:w="632" w:type="dxa"/>
            <w:tcBorders>
              <w:top w:val="nil"/>
              <w:left w:val="single" w:color="auto" w:sz="12" w:space="0"/>
              <w:bottom w:val="single" w:color="auto" w:sz="12"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38</w:t>
            </w:r>
          </w:p>
        </w:tc>
        <w:tc>
          <w:tcPr>
            <w:tcW w:w="966" w:type="dxa"/>
            <w:tcBorders>
              <w:top w:val="nil"/>
              <w:left w:val="nil"/>
              <w:bottom w:val="single" w:color="auto" w:sz="12"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肺活量测试仪</w:t>
            </w:r>
          </w:p>
        </w:tc>
        <w:tc>
          <w:tcPr>
            <w:tcW w:w="6727" w:type="dxa"/>
            <w:gridSpan w:val="2"/>
            <w:tcBorders>
              <w:top w:val="nil"/>
              <w:left w:val="nil"/>
              <w:bottom w:val="single" w:color="auto" w:sz="12" w:space="0"/>
              <w:right w:val="single" w:color="auto" w:sz="6" w:space="0"/>
            </w:tcBorders>
            <w:shd w:val="clear" w:color="auto" w:fill="FFFFFF"/>
            <w:noWrap w:val="0"/>
            <w:tcMar>
              <w:top w:w="0" w:type="dxa"/>
              <w:left w:w="105" w:type="dxa"/>
              <w:bottom w:w="0" w:type="dxa"/>
              <w:right w:w="105" w:type="dxa"/>
            </w:tcMar>
            <w:vAlign w:val="center"/>
          </w:tcPr>
          <w:p>
            <w:pPr>
              <w:jc w:val="left"/>
              <w:rPr>
                <w:rFonts w:hint="eastAsia" w:ascii="宋体" w:hAnsi="宋体" w:eastAsia="宋体" w:cs="宋体"/>
                <w:color w:val="auto"/>
                <w:spacing w:val="8"/>
                <w:kern w:val="0"/>
                <w:sz w:val="24"/>
                <w:szCs w:val="24"/>
              </w:rPr>
            </w:pPr>
            <w:r>
              <w:rPr>
                <w:rFonts w:hint="eastAsia" w:ascii="宋体" w:hAnsi="宋体" w:eastAsia="宋体" w:cs="宋体"/>
                <w:color w:val="auto"/>
                <w:sz w:val="21"/>
                <w:szCs w:val="21"/>
              </w:rPr>
              <w:t xml:space="preserve">1.测定人体呼吸的最大通气能力，测试数值反映肺的容积和肺的扩展能力。吹管不易产生积水，防补气功能，补气时自动锁定数据。2.测试仪采用一体化设计，液晶显示，具有锁定功能，读数方便。3. </w:t>
            </w:r>
            <w:r>
              <w:rPr>
                <w:rFonts w:hint="eastAsia" w:ascii="宋体" w:hAnsi="宋体" w:eastAsia="宋体" w:cs="宋体"/>
                <w:color w:val="auto"/>
                <w:sz w:val="21"/>
                <w:szCs w:val="21"/>
                <w:lang w:eastAsia="zh-CN"/>
              </w:rPr>
              <w:t>符合</w:t>
            </w:r>
            <w:r>
              <w:rPr>
                <w:rFonts w:hint="eastAsia" w:ascii="宋体" w:hAnsi="宋体" w:eastAsia="宋体" w:cs="宋体"/>
                <w:color w:val="auto"/>
                <w:sz w:val="21"/>
                <w:szCs w:val="21"/>
              </w:rPr>
              <w:t>GB/T19851.12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2005。适应频繁、大量人群集中测试。</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.主要技术参数：量程：100～9999ml ，分度值：1ml，</w:t>
            </w:r>
            <w:r>
              <w:rPr>
                <w:rFonts w:hint="eastAsia" w:ascii="宋体" w:hAnsi="宋体" w:eastAsia="宋体" w:cs="宋体"/>
                <w:color w:val="auto"/>
                <w:sz w:val="21"/>
                <w:szCs w:val="21"/>
                <w:lang w:eastAsia="zh-CN"/>
              </w:rPr>
              <w:t>允</w:t>
            </w:r>
            <w:r>
              <w:rPr>
                <w:rFonts w:hint="eastAsia" w:ascii="宋体" w:hAnsi="宋体" w:eastAsia="宋体" w:cs="宋体"/>
                <w:color w:val="auto"/>
                <w:sz w:val="21"/>
                <w:szCs w:val="21"/>
              </w:rPr>
              <w:t>差：±</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xml:space="preserve">.5%         </w:t>
            </w:r>
          </w:p>
        </w:tc>
        <w:tc>
          <w:tcPr>
            <w:tcW w:w="705" w:type="dxa"/>
            <w:tcBorders>
              <w:top w:val="nil"/>
              <w:left w:val="nil"/>
              <w:bottom w:val="single" w:color="auto" w:sz="12"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tLeast"/>
              <w:jc w:val="center"/>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台</w:t>
            </w:r>
          </w:p>
        </w:tc>
        <w:tc>
          <w:tcPr>
            <w:tcW w:w="735" w:type="dxa"/>
            <w:tcBorders>
              <w:top w:val="nil"/>
              <w:left w:val="nil"/>
              <w:bottom w:val="single" w:color="auto" w:sz="12" w:space="0"/>
              <w:right w:val="single" w:color="auto" w:sz="6" w:space="0"/>
            </w:tcBorders>
            <w:shd w:val="clear" w:color="auto" w:fill="FFFFFF"/>
            <w:noWrap w:val="0"/>
            <w:tcMar>
              <w:top w:w="0" w:type="dxa"/>
              <w:left w:w="105" w:type="dxa"/>
              <w:bottom w:w="0" w:type="dxa"/>
              <w:right w:w="105" w:type="dxa"/>
            </w:tcMar>
            <w:vAlign w:val="center"/>
          </w:tcPr>
          <w:p>
            <w:pPr>
              <w:widowControl/>
              <w:wordWrap w:val="0"/>
              <w:spacing w:line="240" w:lineRule="auto"/>
              <w:jc w:val="center"/>
              <w:rPr>
                <w:rFonts w:hint="eastAsia" w:ascii="宋体" w:hAnsi="宋体" w:eastAsia="宋体" w:cs="宋体"/>
                <w:color w:val="auto"/>
                <w:spacing w:val="8"/>
                <w:kern w:val="0"/>
                <w:sz w:val="24"/>
                <w:szCs w:val="24"/>
                <w:lang w:val="en-US" w:eastAsia="zh-CN"/>
              </w:rPr>
            </w:pPr>
            <w:r>
              <w:rPr>
                <w:rFonts w:hint="eastAsia" w:ascii="宋体" w:hAnsi="宋体" w:eastAsia="宋体" w:cs="宋体"/>
                <w:color w:val="auto"/>
                <w:spacing w:val="8"/>
                <w:kern w:val="0"/>
                <w:sz w:val="24"/>
                <w:szCs w:val="24"/>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77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音乐器材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编</w:t>
            </w:r>
            <w:r>
              <w:rPr>
                <w:rFonts w:hint="eastAsia" w:ascii="宋体" w:hAnsi="宋体" w:eastAsia="宋体" w:cs="宋体"/>
                <w:color w:val="auto"/>
                <w:sz w:val="24"/>
                <w:szCs w:val="24"/>
              </w:rPr>
              <w:t>号</w:t>
            </w:r>
          </w:p>
        </w:tc>
        <w:tc>
          <w:tcPr>
            <w:tcW w:w="966"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eastAsia="宋体" w:cs="宋体"/>
                <w:color w:val="auto"/>
                <w:sz w:val="24"/>
                <w:szCs w:val="24"/>
              </w:rPr>
            </w:pPr>
            <w:r>
              <w:rPr>
                <w:rFonts w:hint="eastAsia" w:ascii="宋体" w:hAnsi="宋体" w:eastAsia="宋体" w:cs="宋体"/>
                <w:color w:val="auto"/>
                <w:sz w:val="24"/>
                <w:szCs w:val="24"/>
              </w:rPr>
              <w:t>名称</w:t>
            </w:r>
          </w:p>
        </w:tc>
        <w:tc>
          <w:tcPr>
            <w:tcW w:w="672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9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小学音乐教学挂图</w:t>
            </w:r>
          </w:p>
        </w:tc>
        <w:tc>
          <w:tcPr>
            <w:tcW w:w="672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适合小学音乐教学要求的音乐家肖像、乐器图样、乐理知识等，需涵盖《义务教育音乐课程标准（2011年版）》规定及教材所涉及的内容。应为国家正式出版 </w:t>
            </w:r>
          </w:p>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物</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9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音响系统</w:t>
            </w:r>
          </w:p>
        </w:tc>
        <w:tc>
          <w:tcPr>
            <w:tcW w:w="672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含音箱（或有源音箱）一对、功放和DVD机各一台</w:t>
            </w:r>
            <w:r>
              <w:rPr>
                <w:rFonts w:hint="eastAsia" w:ascii="宋体" w:hAnsi="宋体" w:eastAsia="宋体" w:cs="宋体"/>
                <w:color w:val="auto"/>
                <w:sz w:val="21"/>
                <w:szCs w:val="21"/>
              </w:rPr>
              <w:t>。</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pacing w:val="8"/>
                <w:ker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9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电子琴</w:t>
            </w:r>
          </w:p>
        </w:tc>
        <w:tc>
          <w:tcPr>
            <w:tcW w:w="6727"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61键</w:t>
            </w:r>
            <w:r>
              <w:rPr>
                <w:rFonts w:hint="eastAsia" w:ascii="宋体" w:hAnsi="宋体" w:eastAsia="宋体" w:cs="宋体"/>
                <w:b w:val="0"/>
                <w:bCs w:val="0"/>
                <w:color w:val="auto"/>
                <w:sz w:val="21"/>
                <w:szCs w:val="21"/>
              </w:rPr>
              <w:t>仿钢琴键盘.</w:t>
            </w:r>
            <w:r>
              <w:rPr>
                <w:rFonts w:hint="eastAsia" w:ascii="宋体" w:hAnsi="宋体" w:eastAsia="宋体" w:cs="宋体"/>
                <w:b w:val="0"/>
                <w:bCs w:val="0"/>
                <w:color w:val="auto"/>
                <w:sz w:val="21"/>
                <w:szCs w:val="21"/>
                <w:lang w:eastAsia="zh-CN"/>
              </w:rPr>
              <w:t>音色不少于</w:t>
            </w:r>
            <w:r>
              <w:rPr>
                <w:rFonts w:hint="eastAsia" w:ascii="宋体" w:hAnsi="宋体" w:eastAsia="宋体" w:cs="宋体"/>
                <w:b w:val="0"/>
                <w:bCs w:val="0"/>
                <w:color w:val="auto"/>
                <w:sz w:val="21"/>
                <w:szCs w:val="21"/>
                <w:lang w:val="en-US" w:eastAsia="zh-CN"/>
              </w:rPr>
              <w:t>100种，自动节奏不少于100种，具有自动伴奏功能，具有不少于6种状态记忆功能，实时录放音功能；具有USB接口通道；麦克风接入，立体声线路/耳机输出，音频输入，延音踏板输出；有立体声、延音、颤音等音色效果。</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台</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966"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电钢琴</w:t>
            </w:r>
          </w:p>
        </w:tc>
        <w:tc>
          <w:tcPr>
            <w:tcW w:w="672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sz w:val="24"/>
                <w:szCs w:val="24"/>
              </w:rPr>
            </w:pPr>
            <w:r>
              <w:rPr>
                <w:rFonts w:hint="eastAsia" w:ascii="宋体" w:hAnsi="宋体" w:eastAsia="宋体" w:cs="宋体"/>
                <w:color w:val="auto"/>
                <w:kern w:val="0"/>
                <w:sz w:val="21"/>
                <w:szCs w:val="21"/>
                <w:lang w:val="en-US" w:eastAsia="zh-CN" w:bidi="ar"/>
              </w:rPr>
              <w:t>88键配重键盘，有MIDI接口，带踏板和琴架</w:t>
            </w:r>
            <w:r>
              <w:rPr>
                <w:rFonts w:hint="eastAsia" w:ascii="宋体" w:hAnsi="宋体" w:eastAsia="宋体" w:cs="宋体"/>
                <w:color w:val="auto"/>
                <w:kern w:val="0"/>
                <w:sz w:val="24"/>
                <w:szCs w:val="24"/>
                <w:lang w:val="en-US" w:eastAsia="zh-CN" w:bidi="ar"/>
              </w:rPr>
              <w:t>。</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台</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977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美术器材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编    号</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名         称</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磁性白黑板</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不小于90cm×70cm</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小学美术教学挂图</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适合小学美术教学要求的绘画、手工、欣赏内容， </w:t>
            </w:r>
          </w:p>
          <w:p>
            <w:pPr>
              <w:keepNext w:val="0"/>
              <w:keepLines w:val="0"/>
              <w:widowControl/>
              <w:suppressLineNumbers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不少于48幅，对开，应为国家正式出版物</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写生教具（1）</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石膏像：阿古力巴（切面），腊空（半面），太阳 </w:t>
            </w:r>
          </w:p>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神（头像），海盗（头像），小大卫（头像）</w:t>
            </w:r>
          </w:p>
          <w:p>
            <w:pPr>
              <w:widowControl/>
              <w:spacing w:line="297" w:lineRule="atLeast"/>
              <w:jc w:val="left"/>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pacing w:val="8"/>
                <w:ker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写生教具（2）</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石膏几何形体：圆球，长方体，正方体，圆柱体， </w:t>
            </w:r>
          </w:p>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六棱柱，圆锥，方锥</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pacing w:val="8"/>
                <w:kern w:val="0"/>
                <w:sz w:val="24"/>
                <w:szCs w:val="24"/>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24"/>
                <w:szCs w:val="24"/>
              </w:rPr>
            </w:pPr>
            <w:r>
              <w:rPr>
                <w:rFonts w:hint="eastAsia" w:ascii="宋体" w:hAnsi="宋体" w:eastAsia="宋体" w:cs="宋体"/>
                <w:color w:val="auto"/>
                <w:sz w:val="24"/>
                <w:szCs w:val="24"/>
              </w:rPr>
              <w:t>画架</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高度不低于142cm</w:t>
            </w:r>
          </w:p>
          <w:p>
            <w:pPr>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符合</w:t>
            </w:r>
            <w:r>
              <w:rPr>
                <w:rFonts w:hint="eastAsia" w:ascii="宋体" w:hAnsi="宋体" w:eastAsia="宋体" w:cs="宋体"/>
                <w:color w:val="auto"/>
                <w:kern w:val="0"/>
                <w:sz w:val="21"/>
                <w:szCs w:val="21"/>
                <w:lang w:val="en-US" w:eastAsia="zh-CN" w:bidi="ar"/>
              </w:rPr>
              <w:t>QB/T 2915—2007</w:t>
            </w:r>
            <w:r>
              <w:rPr>
                <w:rFonts w:hint="eastAsia" w:ascii="宋体" w:hAnsi="宋体" w:eastAsia="宋体" w:cs="宋体"/>
                <w:color w:val="auto"/>
                <w:sz w:val="21"/>
                <w:szCs w:val="21"/>
              </w:rPr>
              <w:t>。</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个</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4"/>
                <w:szCs w:val="24"/>
              </w:rPr>
            </w:pPr>
            <w:r>
              <w:rPr>
                <w:rFonts w:hint="eastAsia" w:ascii="宋体" w:hAnsi="宋体" w:eastAsia="宋体" w:cs="宋体"/>
                <w:sz w:val="24"/>
                <w:szCs w:val="24"/>
              </w:rPr>
              <w:t>画板</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不小于60cm×45cm</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6" w:hRule="atLeast"/>
        </w:trPr>
        <w:tc>
          <w:tcPr>
            <w:tcW w:w="64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4"/>
                <w:szCs w:val="24"/>
              </w:rPr>
            </w:pPr>
            <w:r>
              <w:rPr>
                <w:rFonts w:hint="eastAsia" w:ascii="宋体" w:hAnsi="宋体" w:eastAsia="宋体" w:cs="宋体"/>
                <w:sz w:val="24"/>
                <w:szCs w:val="24"/>
              </w:rPr>
              <w:t>绘画工具</w:t>
            </w:r>
          </w:p>
        </w:tc>
        <w:tc>
          <w:tcPr>
            <w:tcW w:w="66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水粉笔1～12#各1支，水彩笔1～12#各1支、大白云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毛笔1支、小狼毫1支、勾线笔1支、斗笔1支、扁笔 1支、调色盒1个、调色盘1个</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毛笔应符合QB/T 2293—1997、画笔应符 合QB/T 1749—1993</w:t>
            </w:r>
            <w:r>
              <w:rPr>
                <w:rFonts w:hint="eastAsia" w:ascii="宋体" w:hAnsi="宋体" w:eastAsia="宋体" w:cs="宋体"/>
                <w:sz w:val="21"/>
                <w:szCs w:val="21"/>
              </w:rPr>
              <w:t>。</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r>
    </w:tbl>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需要落实的政府采购政策</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促进中小企业、监狱企业和残疾人福利性单位发展扶持政策</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小型和微型企业认定：</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提供本企业制造的货物、承担的工程或服务的，或者提供其他小型或者微型企业制造的货物的；</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提供由供应商企业所在地的县级及以上中小企业主管部门出具的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b/>
          <w:bCs/>
          <w:color w:val="0000FF"/>
          <w:szCs w:val="21"/>
        </w:rPr>
        <w:t>原件核查）</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；供应商提供其他企业制造的货物的除需提供本企业的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和中小企业声明函外，还需提供其他企业所在地的县级及以上中小企业主管部门出具的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公章，副本中可为正本的复印件</w:t>
      </w:r>
      <w:r>
        <w:rPr>
          <w:rFonts w:hint="eastAsia" w:ascii="宋体" w:hAnsi="宋体" w:eastAsia="宋体" w:cs="宋体"/>
          <w:b/>
          <w:bCs/>
          <w:color w:val="0000FF"/>
          <w:szCs w:val="21"/>
        </w:rPr>
        <w:t>）</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，否则不予承认。</w:t>
      </w:r>
    </w:p>
    <w:p>
      <w:pPr>
        <w:spacing w:line="440" w:lineRule="exact"/>
        <w:rPr>
          <w:rFonts w:hint="eastAsia" w:ascii="宋体" w:hAnsi="宋体" w:eastAsia="宋体" w:cs="宋体"/>
          <w:b/>
          <w:bCs/>
          <w:szCs w:val="21"/>
        </w:rPr>
      </w:pPr>
      <w:r>
        <w:rPr>
          <w:rFonts w:hint="eastAsia" w:ascii="宋体" w:hAnsi="宋体" w:eastAsia="宋体" w:cs="宋体"/>
          <w:bCs/>
          <w:szCs w:val="21"/>
        </w:rPr>
        <w:t>　　</w:t>
      </w:r>
      <w:r>
        <w:rPr>
          <w:rFonts w:hint="eastAsia" w:ascii="宋体" w:hAnsi="宋体" w:eastAsia="宋体" w:cs="宋体"/>
          <w:b/>
          <w:bCs/>
          <w:szCs w:val="21"/>
        </w:rPr>
        <w:t>在评审的过程中，以上（1）和（2）同时成立，方可以认定为小型或微型企业并享受价格优惠。</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olor w:val="0000CC"/>
          <w:szCs w:val="21"/>
        </w:rPr>
        <w:t>（投标文件商务、技术证明文件正本中提供复印件加盖投标人公章，副本中可为正本的复印件，原件核查）</w:t>
      </w:r>
      <w:r>
        <w:rPr>
          <w:rFonts w:hint="eastAsia" w:ascii="宋体" w:hAnsi="宋体" w:eastAsia="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0000CC"/>
          <w:szCs w:val="21"/>
        </w:rPr>
        <w:t>（原件附投标文件商务、技术证明文件正本中，副本可以为正本的复印件）</w:t>
      </w:r>
      <w:r>
        <w:rPr>
          <w:rFonts w:hint="eastAsia" w:ascii="宋体" w:hAnsi="宋体" w:eastAsia="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eastAsia="宋体" w:cs="宋体"/>
          <w:bCs/>
          <w:szCs w:val="21"/>
        </w:rPr>
      </w:pPr>
      <w:r>
        <w:rPr>
          <w:rFonts w:hint="eastAsia" w:ascii="宋体" w:hAnsi="宋体" w:eastAsia="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节能产品、环境标志产品</w:t>
      </w:r>
    </w:p>
    <w:p>
      <w:r>
        <w:rPr>
          <w:rFonts w:hint="eastAsia" w:ascii="宋体" w:hAnsi="宋体" w:eastAsia="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0000FF"/>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sz w:val="24"/>
        </w:rPr>
        <w:t>）</w:t>
      </w:r>
      <w:r>
        <w:rPr>
          <w:rFonts w:hint="eastAsia" w:ascii="宋体" w:hAnsi="宋体" w:eastAsia="宋体" w:cs="宋体"/>
          <w:b/>
          <w:bCs/>
          <w:color w:val="0000FF"/>
          <w:szCs w:val="21"/>
        </w:rPr>
        <w:t>）</w:t>
      </w:r>
      <w:r>
        <w:rPr>
          <w:rFonts w:hint="eastAsia" w:ascii="宋体" w:hAnsi="宋体" w:eastAsia="宋体" w:cs="宋体"/>
          <w:bCs/>
          <w:szCs w:val="21"/>
        </w:rPr>
        <w:t>，否则不予认定。</w:t>
      </w: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05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spacing w:line="40" w:lineRule="atLeast"/>
      <w:ind w:firstLine="538" w:firstLineChars="192"/>
    </w:pPr>
    <w:rPr>
      <w:rFonts w:ascii="宋体" w:hAnsi="宋体"/>
      <w:kern w:val="0"/>
      <w:sz w:val="28"/>
    </w:rPr>
  </w:style>
  <w:style w:type="paragraph" w:styleId="3">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szCs w:val="24"/>
    </w:rPr>
  </w:style>
  <w:style w:type="paragraph" w:styleId="4">
    <w:name w:val="Title"/>
    <w:basedOn w:val="1"/>
    <w:uiPriority w:val="0"/>
    <w:pPr>
      <w:spacing w:before="240" w:beforeLines="0" w:after="60" w:afterLines="0"/>
      <w:jc w:val="center"/>
      <w:outlineLvl w:val="0"/>
    </w:pPr>
    <w:rPr>
      <w:rFonts w:ascii="Arial" w:hAnsi="Arial" w:eastAsia="宋体" w:cs="Arial"/>
      <w:b/>
      <w:bCs/>
      <w:sz w:val="32"/>
      <w:szCs w:val="32"/>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2020-09-14T07:39:48Z</dcterms:created>
  <dc:creator>Administrator</dc:creator>
  <cp:lastModifiedBy>清晨的阳光</cp:lastModifiedBy>
  <dcterms:modified xsi:type="dcterms:W3CDTF">2020-09-14T07:43:17Z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