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jc w:val="center"/>
        <w:rPr>
          <w:rFonts w:ascii="宋体" w:hAnsi="宋体"/>
          <w:b/>
          <w:bCs/>
          <w:sz w:val="32"/>
          <w:szCs w:val="32"/>
        </w:rPr>
      </w:pPr>
      <w:r>
        <w:rPr>
          <w:rFonts w:hint="eastAsia" w:ascii="宋体" w:hAnsi="宋体"/>
          <w:b/>
          <w:bCs/>
          <w:sz w:val="32"/>
          <w:szCs w:val="32"/>
        </w:rPr>
        <w:t>武陟县疾病预防控制中心P2实验室建设项目设备购置采购项目</w:t>
      </w:r>
    </w:p>
    <w:p>
      <w:pPr>
        <w:rPr>
          <w:rFonts w:ascii="宋体" w:hAnsi="宋体"/>
        </w:rPr>
      </w:pPr>
    </w:p>
    <w:p>
      <w:pPr>
        <w:rPr>
          <w:rFonts w:ascii="宋体" w:hAnsi="宋体"/>
        </w:rPr>
      </w:pPr>
    </w:p>
    <w:p>
      <w:pPr>
        <w:rPr>
          <w:rFonts w:ascii="宋体" w:hAnsi="宋体"/>
        </w:rPr>
      </w:pPr>
    </w:p>
    <w:p>
      <w:pPr>
        <w:adjustRightInd w:val="0"/>
        <w:snapToGrid w:val="0"/>
        <w:jc w:val="center"/>
        <w:rPr>
          <w:rFonts w:ascii="宋体" w:hAnsi="宋体"/>
          <w:b/>
          <w:bCs/>
          <w:sz w:val="84"/>
          <w:szCs w:val="84"/>
        </w:rPr>
      </w:pPr>
      <w:r>
        <w:rPr>
          <w:rFonts w:hint="eastAsia" w:ascii="宋体" w:hAnsi="宋体"/>
          <w:b/>
          <w:bCs/>
          <w:kern w:val="0"/>
          <w:sz w:val="72"/>
          <w:szCs w:val="72"/>
        </w:rPr>
        <w:t>招 标 文 件</w:t>
      </w:r>
    </w:p>
    <w:p>
      <w:pPr>
        <w:widowControl/>
        <w:rPr>
          <w:rFonts w:ascii="宋体" w:hAnsi="宋体"/>
          <w:b/>
          <w:bCs/>
        </w:rPr>
      </w:pPr>
    </w:p>
    <w:p>
      <w:pPr>
        <w:widowControl/>
        <w:rPr>
          <w:rFonts w:ascii="宋体" w:hAnsi="宋体"/>
          <w:b/>
          <w:bCs/>
        </w:rPr>
      </w:pPr>
    </w:p>
    <w:p>
      <w:pPr>
        <w:widowControl/>
        <w:ind w:firstLine="2247" w:firstLineChars="746"/>
        <w:jc w:val="left"/>
        <w:rPr>
          <w:rFonts w:ascii="宋体" w:hAnsi="宋体"/>
          <w:b/>
          <w:bCs/>
          <w:sz w:val="30"/>
          <w:szCs w:val="30"/>
        </w:rPr>
      </w:pPr>
      <w:r>
        <w:rPr>
          <w:rFonts w:hint="eastAsia" w:ascii="宋体" w:hAnsi="宋体"/>
          <w:b/>
          <w:sz w:val="30"/>
          <w:szCs w:val="30"/>
        </w:rPr>
        <w:t>项目编号：武政招标采购[2020]087号</w:t>
      </w:r>
    </w:p>
    <w:p>
      <w:pPr>
        <w:widowControl/>
        <w:ind w:firstLine="2247" w:firstLineChars="746"/>
        <w:jc w:val="left"/>
        <w:rPr>
          <w:rFonts w:ascii="宋体" w:hAnsi="宋体"/>
        </w:rPr>
      </w:pPr>
      <w:r>
        <w:rPr>
          <w:rFonts w:hint="eastAsia" w:ascii="宋体" w:hAnsi="宋体"/>
          <w:b/>
          <w:sz w:val="30"/>
          <w:szCs w:val="30"/>
        </w:rPr>
        <w:t>交易编号：武交采GKZB2020-031号</w:t>
      </w:r>
    </w:p>
    <w:p>
      <w:pPr>
        <w:spacing w:line="440" w:lineRule="exact"/>
        <w:ind w:firstLine="643" w:firstLineChars="200"/>
        <w:rPr>
          <w:rFonts w:ascii="宋体" w:hAnsi="宋体"/>
          <w:b/>
          <w:bCs/>
          <w:sz w:val="32"/>
          <w:szCs w:val="32"/>
        </w:rPr>
      </w:pPr>
    </w:p>
    <w:p>
      <w:pPr>
        <w:spacing w:line="440" w:lineRule="exact"/>
        <w:jc w:val="center"/>
        <w:rPr>
          <w:rFonts w:ascii="宋体" w:hAnsi="宋体"/>
          <w:b/>
          <w:bCs/>
          <w:sz w:val="32"/>
          <w:szCs w:val="32"/>
        </w:rPr>
      </w:pPr>
    </w:p>
    <w:p>
      <w:pPr>
        <w:ind w:firstLine="480" w:firstLineChars="200"/>
        <w:jc w:val="center"/>
        <w:rPr>
          <w:rFonts w:ascii="宋体" w:hAnsi="宋体"/>
          <w:b/>
          <w:bCs/>
          <w:sz w:val="32"/>
          <w:szCs w:val="32"/>
        </w:rPr>
      </w:pPr>
      <w:r>
        <w:rPr>
          <w:rFonts w:hint="eastAsia" w:ascii="宋体" w:hAnsi="宋体"/>
        </w:rPr>
        <w:drawing>
          <wp:inline distT="0" distB="0" distL="0" distR="0">
            <wp:extent cx="2126615" cy="2126615"/>
            <wp:effectExtent l="19050" t="0" r="6985" b="0"/>
            <wp:docPr id="1"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6"/>
                    <pic:cNvPicPr>
                      <a:picLocks noChangeAspect="1" noChangeArrowheads="1"/>
                    </pic:cNvPicPr>
                  </pic:nvPicPr>
                  <pic:blipFill>
                    <a:blip r:embed="rId6" cstate="print"/>
                    <a:srcRect/>
                    <a:stretch>
                      <a:fillRect/>
                    </a:stretch>
                  </pic:blipFill>
                  <pic:spPr>
                    <a:xfrm>
                      <a:off x="0" y="0"/>
                      <a:ext cx="2126615" cy="2126615"/>
                    </a:xfrm>
                    <a:prstGeom prst="rect">
                      <a:avLst/>
                    </a:prstGeom>
                    <a:noFill/>
                    <a:ln w="9525">
                      <a:noFill/>
                      <a:miter lim="800000"/>
                      <a:headEnd/>
                      <a:tailEnd/>
                    </a:ln>
                  </pic:spPr>
                </pic:pic>
              </a:graphicData>
            </a:graphic>
          </wp:inline>
        </w:drawing>
      </w:r>
    </w:p>
    <w:p>
      <w:pPr>
        <w:spacing w:line="440" w:lineRule="exact"/>
        <w:ind w:firstLine="643" w:firstLineChars="200"/>
        <w:rPr>
          <w:rFonts w:ascii="宋体" w:hAnsi="宋体"/>
          <w:b/>
          <w:bCs/>
          <w:sz w:val="32"/>
          <w:szCs w:val="32"/>
        </w:rPr>
      </w:pPr>
    </w:p>
    <w:p>
      <w:pPr>
        <w:spacing w:line="440" w:lineRule="exact"/>
        <w:ind w:firstLine="643" w:firstLineChars="200"/>
        <w:rPr>
          <w:rFonts w:ascii="宋体" w:hAnsi="宋体"/>
          <w:b/>
          <w:bCs/>
          <w:sz w:val="32"/>
          <w:szCs w:val="32"/>
        </w:rPr>
      </w:pPr>
    </w:p>
    <w:p>
      <w:pPr>
        <w:spacing w:line="700" w:lineRule="exact"/>
        <w:rPr>
          <w:rFonts w:ascii="宋体" w:hAnsi="宋体"/>
          <w:b/>
          <w:bCs/>
          <w:sz w:val="32"/>
          <w:szCs w:val="32"/>
        </w:rPr>
      </w:pPr>
    </w:p>
    <w:p>
      <w:pPr>
        <w:spacing w:line="600" w:lineRule="exact"/>
        <w:ind w:firstLine="1748" w:firstLineChars="544"/>
        <w:rPr>
          <w:rFonts w:ascii="宋体" w:hAnsi="宋体"/>
          <w:b/>
          <w:sz w:val="32"/>
          <w:szCs w:val="32"/>
          <w:u w:val="single"/>
        </w:rPr>
      </w:pPr>
      <w:r>
        <w:rPr>
          <w:rFonts w:hint="eastAsia" w:ascii="宋体" w:hAnsi="宋体"/>
          <w:b/>
          <w:sz w:val="32"/>
          <w:szCs w:val="32"/>
        </w:rPr>
        <w:t>采   购   人：武陟县疾病预防控制中心</w:t>
      </w:r>
    </w:p>
    <w:p>
      <w:pPr>
        <w:spacing w:line="600" w:lineRule="exact"/>
        <w:rPr>
          <w:rFonts w:ascii="宋体" w:hAnsi="宋体"/>
          <w:b/>
          <w:sz w:val="32"/>
          <w:szCs w:val="32"/>
          <w:u w:val="single"/>
        </w:rPr>
      </w:pPr>
      <w:r>
        <w:rPr>
          <w:rFonts w:hint="eastAsia" w:ascii="宋体" w:hAnsi="宋体"/>
          <w:b/>
          <w:sz w:val="32"/>
          <w:szCs w:val="32"/>
        </w:rPr>
        <w:t xml:space="preserve">           采购代理机构：河南省光大建设管理有限公司</w:t>
      </w:r>
    </w:p>
    <w:p>
      <w:pPr>
        <w:spacing w:line="360" w:lineRule="auto"/>
        <w:jc w:val="center"/>
        <w:rPr>
          <w:rFonts w:ascii="宋体" w:hAnsi="宋体"/>
          <w:b/>
          <w:bCs/>
          <w:sz w:val="32"/>
          <w:szCs w:val="32"/>
        </w:rPr>
      </w:pPr>
    </w:p>
    <w:p>
      <w:pPr>
        <w:spacing w:line="360" w:lineRule="auto"/>
        <w:jc w:val="center"/>
        <w:rPr>
          <w:rFonts w:ascii="宋体" w:hAnsi="宋体"/>
          <w:b/>
          <w:bCs/>
          <w:sz w:val="32"/>
          <w:szCs w:val="32"/>
        </w:rPr>
      </w:pPr>
    </w:p>
    <w:p>
      <w:pPr>
        <w:spacing w:line="360" w:lineRule="auto"/>
        <w:jc w:val="center"/>
        <w:rPr>
          <w:rFonts w:ascii="宋体" w:hAnsi="宋体"/>
          <w:b/>
          <w:bCs/>
          <w:sz w:val="32"/>
          <w:szCs w:val="32"/>
        </w:rPr>
        <w:sectPr>
          <w:footerReference r:id="rId3" w:type="default"/>
          <w:pgSz w:w="11907" w:h="16840"/>
          <w:pgMar w:top="1440" w:right="1080" w:bottom="1440" w:left="1080" w:header="567" w:footer="998" w:gutter="0"/>
          <w:pgNumType w:start="1"/>
          <w:cols w:space="720" w:num="1"/>
          <w:docGrid w:type="lines" w:linePitch="380" w:charSpace="0"/>
        </w:sectPr>
      </w:pPr>
    </w:p>
    <w:p>
      <w:pPr>
        <w:spacing w:line="360" w:lineRule="auto"/>
        <w:jc w:val="center"/>
        <w:rPr>
          <w:rFonts w:ascii="宋体" w:hAnsi="宋体"/>
          <w:b/>
          <w:bCs/>
          <w:sz w:val="32"/>
          <w:szCs w:val="32"/>
        </w:rPr>
      </w:pPr>
      <w:r>
        <w:rPr>
          <w:rFonts w:hint="eastAsia" w:ascii="宋体" w:hAnsi="宋体"/>
          <w:b/>
          <w:bCs/>
          <w:sz w:val="32"/>
          <w:szCs w:val="32"/>
        </w:rPr>
        <w:t>目     录</w:t>
      </w:r>
    </w:p>
    <w:p>
      <w:pPr>
        <w:pStyle w:val="23"/>
        <w:tabs>
          <w:tab w:val="right" w:leader="dot" w:pos="8835"/>
        </w:tabs>
        <w:jc w:val="center"/>
        <w:rPr>
          <w:rFonts w:ascii="宋体" w:hAnsi="宋体" w:cs="宋体"/>
          <w:szCs w:val="22"/>
        </w:rPr>
      </w:pPr>
      <w:r>
        <w:rPr>
          <w:rFonts w:hint="eastAsia" w:ascii="宋体" w:hAnsi="宋体" w:cs="宋体"/>
          <w:szCs w:val="21"/>
          <w:lang w:val="zh-CN"/>
        </w:rPr>
        <w:fldChar w:fldCharType="begin"/>
      </w:r>
      <w:r>
        <w:rPr>
          <w:rFonts w:hint="eastAsia" w:ascii="宋体" w:hAnsi="宋体" w:cs="宋体"/>
          <w:szCs w:val="21"/>
          <w:lang w:val="zh-CN"/>
        </w:rPr>
        <w:instrText xml:space="preserve"> TOC \o "1-3" \h \z \u </w:instrText>
      </w:r>
      <w:r>
        <w:rPr>
          <w:rFonts w:hint="eastAsia" w:ascii="宋体" w:hAnsi="宋体" w:cs="宋体"/>
          <w:szCs w:val="21"/>
          <w:lang w:val="zh-CN"/>
        </w:rPr>
        <w:fldChar w:fldCharType="separate"/>
      </w:r>
      <w:r>
        <w:fldChar w:fldCharType="begin"/>
      </w:r>
      <w:r>
        <w:instrText xml:space="preserve"> HYPERLINK \l "_Toc17444515" </w:instrText>
      </w:r>
      <w:r>
        <w:fldChar w:fldCharType="separate"/>
      </w:r>
      <w:r>
        <w:rPr>
          <w:rStyle w:val="47"/>
          <w:rFonts w:hint="eastAsia" w:ascii="宋体" w:hAnsi="宋体" w:cs="宋体"/>
        </w:rPr>
        <w:t>第一章 招标公告</w:t>
      </w:r>
      <w:r>
        <w:rPr>
          <w:rFonts w:hint="eastAsia" w:ascii="宋体" w:hAnsi="宋体" w:cs="宋体"/>
        </w:rPr>
        <w:tab/>
      </w:r>
      <w:r>
        <w:rPr>
          <w:rFonts w:hint="eastAsia" w:ascii="宋体" w:hAnsi="宋体" w:cs="宋体"/>
        </w:rPr>
        <w:fldChar w:fldCharType="begin"/>
      </w:r>
      <w:r>
        <w:rPr>
          <w:rFonts w:hint="eastAsia" w:ascii="宋体" w:hAnsi="宋体" w:cs="宋体"/>
        </w:rPr>
        <w:instrText xml:space="preserve"> PAGEREF _Toc17444515 \h </w:instrText>
      </w:r>
      <w:r>
        <w:rPr>
          <w:rFonts w:hint="eastAsia" w:ascii="宋体" w:hAnsi="宋体" w:cs="宋体"/>
        </w:rPr>
        <w:fldChar w:fldCharType="separate"/>
      </w:r>
      <w:r>
        <w:rPr>
          <w:rFonts w:hint="eastAsia" w:ascii="宋体" w:hAnsi="宋体" w:cs="宋体"/>
        </w:rPr>
        <w:t>3</w:t>
      </w:r>
      <w:r>
        <w:rPr>
          <w:rFonts w:hint="eastAsia" w:ascii="宋体" w:hAnsi="宋体" w:cs="宋体"/>
        </w:rPr>
        <w:fldChar w:fldCharType="end"/>
      </w:r>
      <w:r>
        <w:rPr>
          <w:rFonts w:hint="eastAsia" w:ascii="宋体" w:hAnsi="宋体" w:cs="宋体"/>
        </w:rPr>
        <w:fldChar w:fldCharType="end"/>
      </w:r>
    </w:p>
    <w:p>
      <w:pPr>
        <w:pStyle w:val="23"/>
        <w:tabs>
          <w:tab w:val="right" w:leader="dot" w:pos="8835"/>
        </w:tabs>
        <w:jc w:val="center"/>
        <w:rPr>
          <w:rFonts w:ascii="宋体" w:hAnsi="宋体" w:cs="宋体"/>
          <w:szCs w:val="22"/>
        </w:rPr>
      </w:pPr>
      <w:r>
        <w:fldChar w:fldCharType="begin"/>
      </w:r>
      <w:r>
        <w:instrText xml:space="preserve"> HYPERLINK \l "_Toc17444516" </w:instrText>
      </w:r>
      <w:r>
        <w:fldChar w:fldCharType="separate"/>
      </w:r>
      <w:r>
        <w:rPr>
          <w:rStyle w:val="47"/>
          <w:rFonts w:hint="eastAsia" w:ascii="宋体" w:hAnsi="宋体" w:cs="宋体"/>
        </w:rPr>
        <w:t>第二章 投标人须知</w:t>
      </w:r>
      <w:r>
        <w:rPr>
          <w:rFonts w:hint="eastAsia" w:ascii="宋体" w:hAnsi="宋体" w:cs="宋体"/>
        </w:rPr>
        <w:tab/>
      </w:r>
      <w:r>
        <w:rPr>
          <w:rFonts w:hint="eastAsia" w:ascii="宋体" w:hAnsi="宋体" w:cs="宋体"/>
        </w:rPr>
        <w:fldChar w:fldCharType="begin"/>
      </w:r>
      <w:r>
        <w:rPr>
          <w:rFonts w:hint="eastAsia" w:ascii="宋体" w:hAnsi="宋体" w:cs="宋体"/>
        </w:rPr>
        <w:instrText xml:space="preserve"> PAGEREF _Toc17444516 \h </w:instrText>
      </w:r>
      <w:r>
        <w:rPr>
          <w:rFonts w:hint="eastAsia" w:ascii="宋体" w:hAnsi="宋体" w:cs="宋体"/>
        </w:rPr>
        <w:fldChar w:fldCharType="separate"/>
      </w:r>
      <w:r>
        <w:rPr>
          <w:rFonts w:hint="eastAsia" w:ascii="宋体" w:hAnsi="宋体" w:cs="宋体"/>
        </w:rPr>
        <w:t>5</w:t>
      </w:r>
      <w:r>
        <w:rPr>
          <w:rFonts w:hint="eastAsia" w:ascii="宋体" w:hAnsi="宋体" w:cs="宋体"/>
        </w:rPr>
        <w:fldChar w:fldCharType="end"/>
      </w:r>
      <w:r>
        <w:rPr>
          <w:rFonts w:hint="eastAsia" w:ascii="宋体" w:hAnsi="宋体" w:cs="宋体"/>
        </w:rPr>
        <w:fldChar w:fldCharType="end"/>
      </w:r>
    </w:p>
    <w:p>
      <w:pPr>
        <w:pStyle w:val="23"/>
        <w:tabs>
          <w:tab w:val="right" w:leader="dot" w:pos="8835"/>
        </w:tabs>
        <w:jc w:val="center"/>
        <w:rPr>
          <w:rFonts w:ascii="宋体" w:hAnsi="宋体" w:cs="宋体"/>
          <w:szCs w:val="22"/>
        </w:rPr>
      </w:pPr>
      <w:r>
        <w:fldChar w:fldCharType="begin"/>
      </w:r>
      <w:r>
        <w:instrText xml:space="preserve"> HYPERLINK \l "_Toc17444517" </w:instrText>
      </w:r>
      <w:r>
        <w:fldChar w:fldCharType="separate"/>
      </w:r>
      <w:r>
        <w:rPr>
          <w:rStyle w:val="47"/>
          <w:rFonts w:hint="eastAsia" w:ascii="宋体" w:hAnsi="宋体" w:cs="宋体"/>
        </w:rPr>
        <w:t>投标人须知前附表</w:t>
      </w:r>
      <w:r>
        <w:rPr>
          <w:rFonts w:hint="eastAsia" w:ascii="宋体" w:hAnsi="宋体" w:cs="宋体"/>
        </w:rPr>
        <w:tab/>
      </w:r>
      <w:r>
        <w:rPr>
          <w:rFonts w:hint="eastAsia" w:ascii="宋体" w:hAnsi="宋体" w:cs="宋体"/>
        </w:rPr>
        <w:fldChar w:fldCharType="begin"/>
      </w:r>
      <w:r>
        <w:rPr>
          <w:rFonts w:hint="eastAsia" w:ascii="宋体" w:hAnsi="宋体" w:cs="宋体"/>
        </w:rPr>
        <w:instrText xml:space="preserve"> PAGEREF _Toc17444517 \h </w:instrText>
      </w:r>
      <w:r>
        <w:rPr>
          <w:rFonts w:hint="eastAsia" w:ascii="宋体" w:hAnsi="宋体" w:cs="宋体"/>
        </w:rPr>
        <w:fldChar w:fldCharType="separate"/>
      </w:r>
      <w:r>
        <w:rPr>
          <w:rFonts w:hint="eastAsia" w:ascii="宋体" w:hAnsi="宋体" w:cs="宋体"/>
        </w:rPr>
        <w:t>5</w:t>
      </w:r>
      <w:r>
        <w:rPr>
          <w:rFonts w:hint="eastAsia" w:ascii="宋体" w:hAnsi="宋体" w:cs="宋体"/>
        </w:rPr>
        <w:fldChar w:fldCharType="end"/>
      </w:r>
      <w:r>
        <w:rPr>
          <w:rFonts w:hint="eastAsia" w:ascii="宋体" w:hAnsi="宋体" w:cs="宋体"/>
        </w:rPr>
        <w:fldChar w:fldCharType="end"/>
      </w:r>
    </w:p>
    <w:p>
      <w:pPr>
        <w:pStyle w:val="27"/>
        <w:tabs>
          <w:tab w:val="right" w:leader="dot" w:pos="8835"/>
        </w:tabs>
        <w:ind w:left="480"/>
        <w:jc w:val="center"/>
        <w:rPr>
          <w:rFonts w:ascii="宋体" w:hAnsi="宋体" w:cs="宋体"/>
          <w:szCs w:val="22"/>
        </w:rPr>
      </w:pPr>
      <w:r>
        <w:fldChar w:fldCharType="begin"/>
      </w:r>
      <w:r>
        <w:instrText xml:space="preserve"> HYPERLINK \l "_Toc17444518" </w:instrText>
      </w:r>
      <w:r>
        <w:fldChar w:fldCharType="separate"/>
      </w:r>
      <w:r>
        <w:rPr>
          <w:rStyle w:val="47"/>
          <w:rFonts w:hint="eastAsia" w:ascii="宋体" w:hAnsi="宋体" w:cs="宋体"/>
        </w:rPr>
        <w:t>一、 总则</w:t>
      </w:r>
      <w:r>
        <w:rPr>
          <w:rFonts w:hint="eastAsia" w:ascii="宋体" w:hAnsi="宋体" w:cs="宋体"/>
        </w:rPr>
        <w:tab/>
      </w:r>
      <w:r>
        <w:rPr>
          <w:rFonts w:hint="eastAsia" w:ascii="宋体" w:hAnsi="宋体" w:cs="宋体"/>
        </w:rPr>
        <w:fldChar w:fldCharType="begin"/>
      </w:r>
      <w:r>
        <w:rPr>
          <w:rFonts w:hint="eastAsia" w:ascii="宋体" w:hAnsi="宋体" w:cs="宋体"/>
        </w:rPr>
        <w:instrText xml:space="preserve"> PAGEREF _Toc17444518 \h </w:instrText>
      </w:r>
      <w:r>
        <w:rPr>
          <w:rFonts w:hint="eastAsia" w:ascii="宋体" w:hAnsi="宋体" w:cs="宋体"/>
        </w:rPr>
        <w:fldChar w:fldCharType="separate"/>
      </w:r>
      <w:r>
        <w:rPr>
          <w:rFonts w:hint="eastAsia" w:ascii="宋体" w:hAnsi="宋体" w:cs="宋体"/>
        </w:rPr>
        <w:t>10</w:t>
      </w:r>
      <w:r>
        <w:rPr>
          <w:rFonts w:hint="eastAsia" w:ascii="宋体" w:hAnsi="宋体" w:cs="宋体"/>
        </w:rPr>
        <w:fldChar w:fldCharType="end"/>
      </w:r>
      <w:r>
        <w:rPr>
          <w:rFonts w:hint="eastAsia" w:ascii="宋体" w:hAnsi="宋体" w:cs="宋体"/>
        </w:rPr>
        <w:fldChar w:fldCharType="end"/>
      </w:r>
    </w:p>
    <w:p>
      <w:pPr>
        <w:pStyle w:val="27"/>
        <w:tabs>
          <w:tab w:val="right" w:leader="dot" w:pos="8835"/>
        </w:tabs>
        <w:ind w:left="480"/>
        <w:jc w:val="center"/>
        <w:rPr>
          <w:rFonts w:ascii="宋体" w:hAnsi="宋体" w:cs="宋体"/>
          <w:szCs w:val="22"/>
        </w:rPr>
      </w:pPr>
      <w:r>
        <w:fldChar w:fldCharType="begin"/>
      </w:r>
      <w:r>
        <w:instrText xml:space="preserve"> HYPERLINK \l "_Toc17444519" </w:instrText>
      </w:r>
      <w:r>
        <w:fldChar w:fldCharType="separate"/>
      </w:r>
      <w:r>
        <w:rPr>
          <w:rStyle w:val="47"/>
          <w:rFonts w:hint="eastAsia" w:ascii="宋体" w:hAnsi="宋体" w:cs="宋体"/>
        </w:rPr>
        <w:t>二、 招标文件</w:t>
      </w:r>
      <w:r>
        <w:rPr>
          <w:rFonts w:hint="eastAsia" w:ascii="宋体" w:hAnsi="宋体" w:cs="宋体"/>
        </w:rPr>
        <w:tab/>
      </w:r>
      <w:r>
        <w:rPr>
          <w:rFonts w:hint="eastAsia" w:ascii="宋体" w:hAnsi="宋体" w:cs="宋体"/>
        </w:rPr>
        <w:fldChar w:fldCharType="begin"/>
      </w:r>
      <w:r>
        <w:rPr>
          <w:rFonts w:hint="eastAsia" w:ascii="宋体" w:hAnsi="宋体" w:cs="宋体"/>
        </w:rPr>
        <w:instrText xml:space="preserve"> PAGEREF _Toc17444519 \h </w:instrText>
      </w:r>
      <w:r>
        <w:rPr>
          <w:rFonts w:hint="eastAsia" w:ascii="宋体" w:hAnsi="宋体" w:cs="宋体"/>
        </w:rPr>
        <w:fldChar w:fldCharType="separate"/>
      </w:r>
      <w:r>
        <w:rPr>
          <w:rFonts w:hint="eastAsia" w:ascii="宋体" w:hAnsi="宋体" w:cs="宋体"/>
        </w:rPr>
        <w:t>12</w:t>
      </w:r>
      <w:r>
        <w:rPr>
          <w:rFonts w:hint="eastAsia" w:ascii="宋体" w:hAnsi="宋体" w:cs="宋体"/>
        </w:rPr>
        <w:fldChar w:fldCharType="end"/>
      </w:r>
      <w:r>
        <w:rPr>
          <w:rFonts w:hint="eastAsia" w:ascii="宋体" w:hAnsi="宋体" w:cs="宋体"/>
        </w:rPr>
        <w:fldChar w:fldCharType="end"/>
      </w:r>
    </w:p>
    <w:p>
      <w:pPr>
        <w:pStyle w:val="27"/>
        <w:tabs>
          <w:tab w:val="right" w:leader="dot" w:pos="8835"/>
        </w:tabs>
        <w:ind w:left="480"/>
        <w:jc w:val="center"/>
        <w:rPr>
          <w:rFonts w:ascii="宋体" w:hAnsi="宋体" w:cs="宋体"/>
          <w:szCs w:val="22"/>
        </w:rPr>
      </w:pPr>
      <w:r>
        <w:fldChar w:fldCharType="begin"/>
      </w:r>
      <w:r>
        <w:instrText xml:space="preserve"> HYPERLINK \l "_Toc17444520" </w:instrText>
      </w:r>
      <w:r>
        <w:fldChar w:fldCharType="separate"/>
      </w:r>
      <w:r>
        <w:rPr>
          <w:rStyle w:val="47"/>
          <w:rFonts w:hint="eastAsia" w:ascii="宋体" w:hAnsi="宋体" w:cs="宋体"/>
        </w:rPr>
        <w:t>三、 投标文件的编制</w:t>
      </w:r>
      <w:r>
        <w:rPr>
          <w:rFonts w:hint="eastAsia" w:ascii="宋体" w:hAnsi="宋体" w:cs="宋体"/>
        </w:rPr>
        <w:tab/>
      </w:r>
      <w:r>
        <w:rPr>
          <w:rFonts w:hint="eastAsia" w:ascii="宋体" w:hAnsi="宋体" w:cs="宋体"/>
        </w:rPr>
        <w:fldChar w:fldCharType="begin"/>
      </w:r>
      <w:r>
        <w:rPr>
          <w:rFonts w:hint="eastAsia" w:ascii="宋体" w:hAnsi="宋体" w:cs="宋体"/>
        </w:rPr>
        <w:instrText xml:space="preserve"> PAGEREF _Toc17444520 \h </w:instrText>
      </w:r>
      <w:r>
        <w:rPr>
          <w:rFonts w:hint="eastAsia" w:ascii="宋体" w:hAnsi="宋体" w:cs="宋体"/>
        </w:rPr>
        <w:fldChar w:fldCharType="separate"/>
      </w:r>
      <w:r>
        <w:rPr>
          <w:rFonts w:hint="eastAsia" w:ascii="宋体" w:hAnsi="宋体" w:cs="宋体"/>
        </w:rPr>
        <w:t>13</w:t>
      </w:r>
      <w:r>
        <w:rPr>
          <w:rFonts w:hint="eastAsia" w:ascii="宋体" w:hAnsi="宋体" w:cs="宋体"/>
        </w:rPr>
        <w:fldChar w:fldCharType="end"/>
      </w:r>
      <w:r>
        <w:rPr>
          <w:rFonts w:hint="eastAsia" w:ascii="宋体" w:hAnsi="宋体" w:cs="宋体"/>
        </w:rPr>
        <w:fldChar w:fldCharType="end"/>
      </w:r>
    </w:p>
    <w:p>
      <w:pPr>
        <w:pStyle w:val="27"/>
        <w:tabs>
          <w:tab w:val="right" w:leader="dot" w:pos="8835"/>
        </w:tabs>
        <w:ind w:left="480"/>
        <w:jc w:val="center"/>
        <w:rPr>
          <w:rFonts w:ascii="宋体" w:hAnsi="宋体" w:cs="宋体"/>
          <w:szCs w:val="22"/>
        </w:rPr>
      </w:pPr>
      <w:r>
        <w:fldChar w:fldCharType="begin"/>
      </w:r>
      <w:r>
        <w:instrText xml:space="preserve"> HYPERLINK \l "_Toc17444521" </w:instrText>
      </w:r>
      <w:r>
        <w:fldChar w:fldCharType="separate"/>
      </w:r>
      <w:r>
        <w:rPr>
          <w:rStyle w:val="47"/>
          <w:rFonts w:hint="eastAsia" w:ascii="宋体" w:hAnsi="宋体" w:cs="宋体"/>
        </w:rPr>
        <w:t>四、 投标文件的递交、修改和撤回</w:t>
      </w:r>
      <w:r>
        <w:rPr>
          <w:rFonts w:hint="eastAsia" w:ascii="宋体" w:hAnsi="宋体" w:cs="宋体"/>
        </w:rPr>
        <w:tab/>
      </w:r>
      <w:r>
        <w:rPr>
          <w:rFonts w:hint="eastAsia" w:ascii="宋体" w:hAnsi="宋体" w:cs="宋体"/>
        </w:rPr>
        <w:fldChar w:fldCharType="begin"/>
      </w:r>
      <w:r>
        <w:rPr>
          <w:rFonts w:hint="eastAsia" w:ascii="宋体" w:hAnsi="宋体" w:cs="宋体"/>
        </w:rPr>
        <w:instrText xml:space="preserve"> PAGEREF _Toc17444521 \h </w:instrText>
      </w:r>
      <w:r>
        <w:rPr>
          <w:rFonts w:hint="eastAsia" w:ascii="宋体" w:hAnsi="宋体" w:cs="宋体"/>
        </w:rPr>
        <w:fldChar w:fldCharType="separate"/>
      </w:r>
      <w:r>
        <w:rPr>
          <w:rFonts w:hint="eastAsia" w:ascii="宋体" w:hAnsi="宋体" w:cs="宋体"/>
        </w:rPr>
        <w:t>14</w:t>
      </w:r>
      <w:r>
        <w:rPr>
          <w:rFonts w:hint="eastAsia" w:ascii="宋体" w:hAnsi="宋体" w:cs="宋体"/>
        </w:rPr>
        <w:fldChar w:fldCharType="end"/>
      </w:r>
      <w:r>
        <w:rPr>
          <w:rFonts w:hint="eastAsia" w:ascii="宋体" w:hAnsi="宋体" w:cs="宋体"/>
        </w:rPr>
        <w:fldChar w:fldCharType="end"/>
      </w:r>
    </w:p>
    <w:p>
      <w:pPr>
        <w:pStyle w:val="27"/>
        <w:tabs>
          <w:tab w:val="right" w:leader="dot" w:pos="8835"/>
        </w:tabs>
        <w:ind w:left="480"/>
        <w:jc w:val="center"/>
        <w:rPr>
          <w:rFonts w:ascii="宋体" w:hAnsi="宋体" w:cs="宋体"/>
          <w:szCs w:val="22"/>
        </w:rPr>
      </w:pPr>
      <w:r>
        <w:fldChar w:fldCharType="begin"/>
      </w:r>
      <w:r>
        <w:instrText xml:space="preserve"> HYPERLINK \l "_Toc17444522" </w:instrText>
      </w:r>
      <w:r>
        <w:fldChar w:fldCharType="separate"/>
      </w:r>
      <w:r>
        <w:rPr>
          <w:rStyle w:val="47"/>
          <w:rFonts w:hint="eastAsia" w:ascii="宋体" w:hAnsi="宋体" w:cs="宋体"/>
        </w:rPr>
        <w:t>五、 开标与评标</w:t>
      </w:r>
      <w:r>
        <w:rPr>
          <w:rFonts w:hint="eastAsia" w:ascii="宋体" w:hAnsi="宋体" w:cs="宋体"/>
        </w:rPr>
        <w:tab/>
      </w:r>
      <w:r>
        <w:rPr>
          <w:rFonts w:hint="eastAsia" w:ascii="宋体" w:hAnsi="宋体" w:cs="宋体"/>
        </w:rPr>
        <w:fldChar w:fldCharType="begin"/>
      </w:r>
      <w:r>
        <w:rPr>
          <w:rFonts w:hint="eastAsia" w:ascii="宋体" w:hAnsi="宋体" w:cs="宋体"/>
        </w:rPr>
        <w:instrText xml:space="preserve"> PAGEREF _Toc17444522 \h </w:instrText>
      </w:r>
      <w:r>
        <w:rPr>
          <w:rFonts w:hint="eastAsia" w:ascii="宋体" w:hAnsi="宋体" w:cs="宋体"/>
        </w:rPr>
        <w:fldChar w:fldCharType="separate"/>
      </w:r>
      <w:r>
        <w:rPr>
          <w:rFonts w:hint="eastAsia" w:ascii="宋体" w:hAnsi="宋体" w:cs="宋体"/>
        </w:rPr>
        <w:t>15</w:t>
      </w:r>
      <w:r>
        <w:rPr>
          <w:rFonts w:hint="eastAsia" w:ascii="宋体" w:hAnsi="宋体" w:cs="宋体"/>
        </w:rPr>
        <w:fldChar w:fldCharType="end"/>
      </w:r>
      <w:r>
        <w:rPr>
          <w:rFonts w:hint="eastAsia" w:ascii="宋体" w:hAnsi="宋体" w:cs="宋体"/>
        </w:rPr>
        <w:fldChar w:fldCharType="end"/>
      </w:r>
    </w:p>
    <w:p>
      <w:pPr>
        <w:pStyle w:val="27"/>
        <w:tabs>
          <w:tab w:val="right" w:leader="dot" w:pos="8835"/>
        </w:tabs>
        <w:ind w:left="480"/>
        <w:jc w:val="center"/>
        <w:rPr>
          <w:rFonts w:ascii="宋体" w:hAnsi="宋体" w:cs="宋体"/>
          <w:szCs w:val="22"/>
        </w:rPr>
      </w:pPr>
      <w:r>
        <w:fldChar w:fldCharType="begin"/>
      </w:r>
      <w:r>
        <w:instrText xml:space="preserve"> HYPERLINK \l "_Toc17444523" </w:instrText>
      </w:r>
      <w:r>
        <w:fldChar w:fldCharType="separate"/>
      </w:r>
      <w:r>
        <w:rPr>
          <w:rStyle w:val="47"/>
          <w:rFonts w:hint="eastAsia" w:ascii="宋体" w:hAnsi="宋体" w:cs="宋体"/>
        </w:rPr>
        <w:t>六、 中标和合同</w:t>
      </w:r>
      <w:r>
        <w:rPr>
          <w:rFonts w:hint="eastAsia" w:ascii="宋体" w:hAnsi="宋体" w:cs="宋体"/>
        </w:rPr>
        <w:tab/>
      </w:r>
      <w:r>
        <w:rPr>
          <w:rFonts w:hint="eastAsia" w:ascii="宋体" w:hAnsi="宋体" w:cs="宋体"/>
        </w:rPr>
        <w:fldChar w:fldCharType="begin"/>
      </w:r>
      <w:r>
        <w:rPr>
          <w:rFonts w:hint="eastAsia" w:ascii="宋体" w:hAnsi="宋体" w:cs="宋体"/>
        </w:rPr>
        <w:instrText xml:space="preserve"> PAGEREF _Toc17444523 \h </w:instrText>
      </w:r>
      <w:r>
        <w:rPr>
          <w:rFonts w:hint="eastAsia" w:ascii="宋体" w:hAnsi="宋体" w:cs="宋体"/>
        </w:rPr>
        <w:fldChar w:fldCharType="separate"/>
      </w:r>
      <w:r>
        <w:rPr>
          <w:rFonts w:hint="eastAsia" w:ascii="宋体" w:hAnsi="宋体" w:cs="宋体"/>
        </w:rPr>
        <w:t>19</w:t>
      </w:r>
      <w:r>
        <w:rPr>
          <w:rFonts w:hint="eastAsia" w:ascii="宋体" w:hAnsi="宋体" w:cs="宋体"/>
        </w:rPr>
        <w:fldChar w:fldCharType="end"/>
      </w:r>
      <w:r>
        <w:rPr>
          <w:rFonts w:hint="eastAsia" w:ascii="宋体" w:hAnsi="宋体" w:cs="宋体"/>
        </w:rPr>
        <w:fldChar w:fldCharType="end"/>
      </w:r>
    </w:p>
    <w:p>
      <w:pPr>
        <w:pStyle w:val="23"/>
        <w:tabs>
          <w:tab w:val="right" w:leader="dot" w:pos="8835"/>
        </w:tabs>
        <w:jc w:val="center"/>
        <w:rPr>
          <w:rFonts w:ascii="宋体" w:hAnsi="宋体" w:cs="宋体"/>
          <w:szCs w:val="22"/>
        </w:rPr>
      </w:pPr>
      <w:r>
        <w:fldChar w:fldCharType="begin"/>
      </w:r>
      <w:r>
        <w:instrText xml:space="preserve"> HYPERLINK \l "_Toc17444524" </w:instrText>
      </w:r>
      <w:r>
        <w:fldChar w:fldCharType="separate"/>
      </w:r>
      <w:r>
        <w:rPr>
          <w:rStyle w:val="47"/>
          <w:rFonts w:hint="eastAsia" w:ascii="宋体" w:hAnsi="宋体" w:cs="宋体"/>
        </w:rPr>
        <w:t>第三章 拟签订的合同文本</w:t>
      </w:r>
      <w:r>
        <w:rPr>
          <w:rFonts w:hint="eastAsia" w:ascii="宋体" w:hAnsi="宋体" w:cs="宋体"/>
        </w:rPr>
        <w:tab/>
      </w:r>
      <w:r>
        <w:rPr>
          <w:rFonts w:hint="eastAsia" w:ascii="宋体" w:hAnsi="宋体" w:cs="宋体"/>
        </w:rPr>
        <w:fldChar w:fldCharType="begin"/>
      </w:r>
      <w:r>
        <w:rPr>
          <w:rFonts w:hint="eastAsia" w:ascii="宋体" w:hAnsi="宋体" w:cs="宋体"/>
        </w:rPr>
        <w:instrText xml:space="preserve"> PAGEREF _Toc17444524 \h </w:instrText>
      </w:r>
      <w:r>
        <w:rPr>
          <w:rFonts w:hint="eastAsia" w:ascii="宋体" w:hAnsi="宋体" w:cs="宋体"/>
        </w:rPr>
        <w:fldChar w:fldCharType="separate"/>
      </w:r>
      <w:r>
        <w:rPr>
          <w:rFonts w:hint="eastAsia" w:ascii="宋体" w:hAnsi="宋体" w:cs="宋体"/>
        </w:rPr>
        <w:t>22</w:t>
      </w:r>
      <w:r>
        <w:rPr>
          <w:rFonts w:hint="eastAsia" w:ascii="宋体" w:hAnsi="宋体" w:cs="宋体"/>
        </w:rPr>
        <w:fldChar w:fldCharType="end"/>
      </w:r>
      <w:r>
        <w:rPr>
          <w:rFonts w:hint="eastAsia" w:ascii="宋体" w:hAnsi="宋体" w:cs="宋体"/>
        </w:rPr>
        <w:fldChar w:fldCharType="end"/>
      </w:r>
    </w:p>
    <w:p>
      <w:pPr>
        <w:pStyle w:val="23"/>
        <w:tabs>
          <w:tab w:val="right" w:leader="dot" w:pos="8835"/>
        </w:tabs>
        <w:jc w:val="center"/>
        <w:rPr>
          <w:rFonts w:ascii="宋体" w:hAnsi="宋体" w:cs="宋体"/>
          <w:szCs w:val="22"/>
        </w:rPr>
      </w:pPr>
      <w:r>
        <w:fldChar w:fldCharType="begin"/>
      </w:r>
      <w:r>
        <w:instrText xml:space="preserve"> HYPERLINK \l "_Toc17444525" </w:instrText>
      </w:r>
      <w:r>
        <w:fldChar w:fldCharType="separate"/>
      </w:r>
      <w:r>
        <w:rPr>
          <w:rStyle w:val="47"/>
          <w:rFonts w:hint="eastAsia" w:ascii="宋体" w:hAnsi="宋体" w:cs="宋体"/>
        </w:rPr>
        <w:t>第四章 采购需求</w:t>
      </w:r>
      <w:r>
        <w:rPr>
          <w:rFonts w:hint="eastAsia" w:ascii="宋体" w:hAnsi="宋体" w:cs="宋体"/>
        </w:rPr>
        <w:tab/>
      </w:r>
      <w:r>
        <w:rPr>
          <w:rFonts w:hint="eastAsia" w:ascii="宋体" w:hAnsi="宋体" w:cs="宋体"/>
        </w:rPr>
        <w:fldChar w:fldCharType="begin"/>
      </w:r>
      <w:r>
        <w:rPr>
          <w:rFonts w:hint="eastAsia" w:ascii="宋体" w:hAnsi="宋体" w:cs="宋体"/>
        </w:rPr>
        <w:instrText xml:space="preserve"> PAGEREF _Toc17444525 \h </w:instrText>
      </w:r>
      <w:r>
        <w:rPr>
          <w:rFonts w:hint="eastAsia" w:ascii="宋体" w:hAnsi="宋体" w:cs="宋体"/>
        </w:rPr>
        <w:fldChar w:fldCharType="separate"/>
      </w:r>
      <w:r>
        <w:rPr>
          <w:rFonts w:hint="eastAsia" w:ascii="宋体" w:hAnsi="宋体" w:cs="宋体"/>
        </w:rPr>
        <w:t>29</w:t>
      </w:r>
      <w:r>
        <w:rPr>
          <w:rFonts w:hint="eastAsia" w:ascii="宋体" w:hAnsi="宋体" w:cs="宋体"/>
        </w:rPr>
        <w:fldChar w:fldCharType="end"/>
      </w:r>
      <w:r>
        <w:rPr>
          <w:rFonts w:hint="eastAsia" w:ascii="宋体" w:hAnsi="宋体" w:cs="宋体"/>
        </w:rPr>
        <w:fldChar w:fldCharType="end"/>
      </w:r>
    </w:p>
    <w:p>
      <w:pPr>
        <w:pStyle w:val="23"/>
        <w:tabs>
          <w:tab w:val="right" w:leader="dot" w:pos="8835"/>
        </w:tabs>
        <w:jc w:val="center"/>
        <w:rPr>
          <w:rFonts w:ascii="宋体" w:hAnsi="宋体" w:cs="宋体"/>
          <w:szCs w:val="22"/>
        </w:rPr>
      </w:pPr>
      <w:r>
        <w:fldChar w:fldCharType="begin"/>
      </w:r>
      <w:r>
        <w:instrText xml:space="preserve"> HYPERLINK \l "_Toc17444526" </w:instrText>
      </w:r>
      <w:r>
        <w:fldChar w:fldCharType="separate"/>
      </w:r>
      <w:r>
        <w:rPr>
          <w:rStyle w:val="47"/>
          <w:rFonts w:hint="eastAsia" w:ascii="宋体" w:hAnsi="宋体" w:cs="宋体"/>
        </w:rPr>
        <w:t>第五章 投标文件资格证明文件格式</w:t>
      </w:r>
      <w:r>
        <w:rPr>
          <w:rFonts w:hint="eastAsia" w:ascii="宋体" w:hAnsi="宋体" w:cs="宋体"/>
        </w:rPr>
        <w:tab/>
      </w:r>
      <w:r>
        <w:rPr>
          <w:rFonts w:hint="eastAsia" w:ascii="宋体" w:hAnsi="宋体" w:cs="宋体"/>
        </w:rPr>
        <w:fldChar w:fldCharType="begin"/>
      </w:r>
      <w:r>
        <w:rPr>
          <w:rFonts w:hint="eastAsia" w:ascii="宋体" w:hAnsi="宋体" w:cs="宋体"/>
        </w:rPr>
        <w:instrText xml:space="preserve"> PAGEREF _Toc17444526 \h </w:instrText>
      </w:r>
      <w:r>
        <w:rPr>
          <w:rFonts w:hint="eastAsia" w:ascii="宋体" w:hAnsi="宋体" w:cs="宋体"/>
        </w:rPr>
        <w:fldChar w:fldCharType="separate"/>
      </w:r>
      <w:r>
        <w:rPr>
          <w:rFonts w:hint="eastAsia" w:ascii="宋体" w:hAnsi="宋体" w:cs="宋体"/>
        </w:rPr>
        <w:t>52</w:t>
      </w:r>
      <w:r>
        <w:rPr>
          <w:rFonts w:hint="eastAsia" w:ascii="宋体" w:hAnsi="宋体" w:cs="宋体"/>
        </w:rPr>
        <w:fldChar w:fldCharType="end"/>
      </w:r>
      <w:r>
        <w:rPr>
          <w:rFonts w:hint="eastAsia" w:ascii="宋体" w:hAnsi="宋体" w:cs="宋体"/>
        </w:rPr>
        <w:fldChar w:fldCharType="end"/>
      </w:r>
    </w:p>
    <w:p>
      <w:pPr>
        <w:pStyle w:val="23"/>
        <w:tabs>
          <w:tab w:val="right" w:leader="dot" w:pos="8835"/>
        </w:tabs>
        <w:jc w:val="center"/>
        <w:rPr>
          <w:rFonts w:ascii="宋体" w:hAnsi="宋体" w:cs="宋体"/>
          <w:szCs w:val="22"/>
        </w:rPr>
      </w:pPr>
      <w:r>
        <w:fldChar w:fldCharType="begin"/>
      </w:r>
      <w:r>
        <w:instrText xml:space="preserve"> HYPERLINK \l "_Toc17444527" </w:instrText>
      </w:r>
      <w:r>
        <w:fldChar w:fldCharType="separate"/>
      </w:r>
      <w:r>
        <w:rPr>
          <w:rStyle w:val="47"/>
          <w:rFonts w:hint="eastAsia" w:ascii="宋体" w:hAnsi="宋体" w:cs="宋体"/>
        </w:rPr>
        <w:t>第六章 投标文件商务、技术证明文件格式</w:t>
      </w:r>
      <w:r>
        <w:rPr>
          <w:rFonts w:hint="eastAsia" w:ascii="宋体" w:hAnsi="宋体" w:cs="宋体"/>
        </w:rPr>
        <w:tab/>
      </w:r>
      <w:r>
        <w:rPr>
          <w:rFonts w:hint="eastAsia" w:ascii="宋体" w:hAnsi="宋体" w:cs="宋体"/>
        </w:rPr>
        <w:fldChar w:fldCharType="begin"/>
      </w:r>
      <w:r>
        <w:rPr>
          <w:rFonts w:hint="eastAsia" w:ascii="宋体" w:hAnsi="宋体" w:cs="宋体"/>
        </w:rPr>
        <w:instrText xml:space="preserve"> PAGEREF _Toc17444527 \h </w:instrText>
      </w:r>
      <w:r>
        <w:rPr>
          <w:rFonts w:hint="eastAsia" w:ascii="宋体" w:hAnsi="宋体" w:cs="宋体"/>
        </w:rPr>
        <w:fldChar w:fldCharType="separate"/>
      </w:r>
      <w:r>
        <w:rPr>
          <w:rFonts w:hint="eastAsia" w:ascii="宋体" w:hAnsi="宋体" w:cs="宋体"/>
        </w:rPr>
        <w:t>62</w:t>
      </w:r>
      <w:r>
        <w:rPr>
          <w:rFonts w:hint="eastAsia" w:ascii="宋体" w:hAnsi="宋体" w:cs="宋体"/>
        </w:rPr>
        <w:fldChar w:fldCharType="end"/>
      </w:r>
      <w:r>
        <w:rPr>
          <w:rFonts w:hint="eastAsia" w:ascii="宋体" w:hAnsi="宋体" w:cs="宋体"/>
        </w:rPr>
        <w:fldChar w:fldCharType="end"/>
      </w:r>
    </w:p>
    <w:p>
      <w:pPr>
        <w:pStyle w:val="23"/>
        <w:tabs>
          <w:tab w:val="right" w:leader="dot" w:pos="8835"/>
        </w:tabs>
        <w:jc w:val="center"/>
        <w:rPr>
          <w:rFonts w:ascii="宋体" w:hAnsi="宋体" w:cs="宋体"/>
          <w:szCs w:val="22"/>
        </w:rPr>
      </w:pPr>
      <w:r>
        <w:fldChar w:fldCharType="begin"/>
      </w:r>
      <w:r>
        <w:instrText xml:space="preserve"> HYPERLINK \l "_Toc17444528" </w:instrText>
      </w:r>
      <w:r>
        <w:fldChar w:fldCharType="separate"/>
      </w:r>
      <w:r>
        <w:rPr>
          <w:rStyle w:val="47"/>
          <w:rFonts w:hint="eastAsia" w:ascii="宋体" w:hAnsi="宋体" w:cs="宋体"/>
        </w:rPr>
        <w:t>第七章 评标方法和评标标准</w:t>
      </w:r>
      <w:r>
        <w:rPr>
          <w:rFonts w:hint="eastAsia" w:ascii="宋体" w:hAnsi="宋体" w:cs="宋体"/>
        </w:rPr>
        <w:tab/>
      </w:r>
      <w:r>
        <w:rPr>
          <w:rFonts w:hint="eastAsia" w:ascii="宋体" w:hAnsi="宋体" w:cs="宋体"/>
        </w:rPr>
        <w:fldChar w:fldCharType="begin"/>
      </w:r>
      <w:r>
        <w:rPr>
          <w:rFonts w:hint="eastAsia" w:ascii="宋体" w:hAnsi="宋体" w:cs="宋体"/>
        </w:rPr>
        <w:instrText xml:space="preserve"> PAGEREF _Toc17444528 \h </w:instrText>
      </w:r>
      <w:r>
        <w:rPr>
          <w:rFonts w:hint="eastAsia" w:ascii="宋体" w:hAnsi="宋体" w:cs="宋体"/>
        </w:rPr>
        <w:fldChar w:fldCharType="separate"/>
      </w:r>
      <w:r>
        <w:rPr>
          <w:rFonts w:hint="eastAsia" w:ascii="宋体" w:hAnsi="宋体" w:cs="宋体"/>
        </w:rPr>
        <w:t>81</w:t>
      </w:r>
      <w:r>
        <w:rPr>
          <w:rFonts w:hint="eastAsia" w:ascii="宋体" w:hAnsi="宋体" w:cs="宋体"/>
        </w:rPr>
        <w:fldChar w:fldCharType="end"/>
      </w:r>
      <w:r>
        <w:rPr>
          <w:rFonts w:hint="eastAsia" w:ascii="宋体" w:hAnsi="宋体" w:cs="宋体"/>
        </w:rPr>
        <w:fldChar w:fldCharType="end"/>
      </w:r>
    </w:p>
    <w:p>
      <w:pPr>
        <w:spacing w:line="440" w:lineRule="exact"/>
        <w:ind w:right="-312" w:rightChars="-130"/>
        <w:jc w:val="center"/>
        <w:rPr>
          <w:rFonts w:ascii="宋体" w:hAnsi="宋体"/>
          <w:b/>
          <w:bCs/>
          <w:caps/>
          <w:sz w:val="32"/>
          <w:szCs w:val="32"/>
          <w:lang w:val="zh-CN"/>
        </w:rPr>
      </w:pPr>
      <w:r>
        <w:rPr>
          <w:rFonts w:hint="eastAsia" w:ascii="宋体" w:hAnsi="宋体"/>
          <w:bCs/>
          <w:caps/>
          <w:szCs w:val="21"/>
          <w:lang w:val="zh-CN"/>
        </w:rPr>
        <w:fldChar w:fldCharType="end"/>
      </w:r>
    </w:p>
    <w:p>
      <w:pPr>
        <w:pStyle w:val="2"/>
        <w:rPr>
          <w:rFonts w:ascii="宋体" w:hAnsi="宋体"/>
        </w:rPr>
      </w:pPr>
    </w:p>
    <w:p>
      <w:pPr>
        <w:pStyle w:val="2"/>
        <w:jc w:val="center"/>
        <w:rPr>
          <w:rFonts w:ascii="宋体" w:hAnsi="宋体"/>
          <w:b/>
          <w:color w:val="FF0000"/>
          <w:sz w:val="28"/>
          <w:szCs w:val="28"/>
        </w:rPr>
      </w:pPr>
      <w:r>
        <w:rPr>
          <w:rFonts w:hint="eastAsia" w:ascii="宋体" w:hAnsi="宋体"/>
          <w:b/>
          <w:color w:val="FF0000"/>
          <w:sz w:val="28"/>
          <w:szCs w:val="28"/>
        </w:rPr>
        <w:t>特别提醒</w:t>
      </w:r>
    </w:p>
    <w:p>
      <w:pPr>
        <w:pStyle w:val="2"/>
        <w:rPr>
          <w:rFonts w:ascii="宋体" w:hAnsi="宋体"/>
          <w:color w:val="FF0000"/>
        </w:rPr>
      </w:pPr>
      <w:r>
        <w:rPr>
          <w:rFonts w:hint="eastAsia" w:ascii="宋体" w:hAnsi="宋体"/>
          <w:color w:val="FF0000"/>
        </w:rPr>
        <w:t> </w:t>
      </w:r>
    </w:p>
    <w:p>
      <w:pPr>
        <w:pStyle w:val="2"/>
        <w:ind w:firstLine="360" w:firstLineChars="150"/>
        <w:rPr>
          <w:rFonts w:ascii="宋体" w:hAnsi="宋体"/>
          <w:color w:val="FF0000"/>
        </w:rPr>
      </w:pPr>
      <w:r>
        <w:rPr>
          <w:rFonts w:hint="eastAsia" w:ascii="宋体" w:hAnsi="宋体"/>
          <w:color w:val="FF0000"/>
        </w:rPr>
        <w:t>1.为全力做好疫情防控工作，投标人只有法定代表人或其委托代理人可以参加交易活动。</w:t>
      </w:r>
    </w:p>
    <w:p>
      <w:pPr>
        <w:pStyle w:val="2"/>
        <w:ind w:firstLine="360" w:firstLineChars="150"/>
        <w:rPr>
          <w:rFonts w:ascii="宋体" w:hAnsi="宋体"/>
          <w:color w:val="FF0000"/>
        </w:rPr>
      </w:pPr>
      <w:r>
        <w:rPr>
          <w:rFonts w:hint="eastAsia" w:ascii="宋体" w:hAnsi="宋体"/>
          <w:color w:val="FF0000"/>
        </w:rPr>
        <w:t>2.根据《河南省“健康码”使用管理办法》要求，进入武陟县公共资源交易中心，参加交易活动的人员，均须出示支付宝“河南健康码”（健康码需为绿色状态）及身份证登记进场。 </w:t>
      </w:r>
    </w:p>
    <w:p>
      <w:pPr>
        <w:pStyle w:val="2"/>
        <w:ind w:firstLine="480" w:firstLineChars="200"/>
        <w:rPr>
          <w:rFonts w:ascii="宋体" w:hAnsi="宋体"/>
          <w:color w:val="FF0000"/>
        </w:rPr>
      </w:pPr>
      <w:r>
        <w:rPr>
          <w:rFonts w:hint="eastAsia" w:ascii="宋体" w:hAnsi="宋体"/>
          <w:color w:val="FF0000"/>
        </w:rPr>
        <w:t>请所有人员进场前自觉做好个人防护，正确佩戴口罩，主动保持一米以上距离间隔，配合做好扫码验证、体温检测、身份登记等防控工作，并按照工作人员引导有序进场。</w:t>
      </w:r>
    </w:p>
    <w:p>
      <w:pPr>
        <w:pStyle w:val="2"/>
        <w:rPr>
          <w:rFonts w:ascii="宋体" w:hAnsi="宋体"/>
        </w:rPr>
      </w:pPr>
    </w:p>
    <w:p>
      <w:pPr>
        <w:pStyle w:val="2"/>
        <w:rPr>
          <w:rFonts w:ascii="宋体" w:hAnsi="宋体"/>
        </w:rPr>
      </w:pPr>
    </w:p>
    <w:p>
      <w:pPr>
        <w:pStyle w:val="2"/>
        <w:rPr>
          <w:rFonts w:ascii="宋体" w:hAnsi="宋体"/>
        </w:rPr>
      </w:pPr>
    </w:p>
    <w:p>
      <w:pPr>
        <w:pStyle w:val="2"/>
        <w:rPr>
          <w:rFonts w:ascii="宋体" w:hAnsi="宋体"/>
        </w:rPr>
      </w:pPr>
    </w:p>
    <w:p>
      <w:pPr>
        <w:pStyle w:val="2"/>
        <w:rPr>
          <w:rFonts w:ascii="宋体" w:hAnsi="宋体"/>
        </w:rPr>
      </w:pPr>
    </w:p>
    <w:p>
      <w:pPr>
        <w:pStyle w:val="2"/>
        <w:rPr>
          <w:rFonts w:ascii="宋体" w:hAnsi="宋体"/>
        </w:rPr>
      </w:pPr>
    </w:p>
    <w:p>
      <w:pPr>
        <w:pStyle w:val="2"/>
        <w:rPr>
          <w:rFonts w:ascii="宋体" w:hAnsi="宋体"/>
        </w:rPr>
      </w:pPr>
    </w:p>
    <w:p>
      <w:pPr>
        <w:pStyle w:val="2"/>
        <w:rPr>
          <w:rFonts w:ascii="宋体" w:hAnsi="宋体"/>
        </w:rPr>
      </w:pPr>
    </w:p>
    <w:p>
      <w:pPr>
        <w:pStyle w:val="2"/>
        <w:rPr>
          <w:rFonts w:ascii="宋体" w:hAnsi="宋体"/>
        </w:rPr>
      </w:pPr>
    </w:p>
    <w:p>
      <w:pPr>
        <w:pStyle w:val="32"/>
        <w:numPr>
          <w:ilvl w:val="0"/>
          <w:numId w:val="2"/>
        </w:numPr>
        <w:spacing w:line="480" w:lineRule="exact"/>
        <w:ind w:right="-72" w:rightChars="-30"/>
        <w:rPr>
          <w:rFonts w:ascii="宋体" w:hAnsi="宋体" w:cs="宋体"/>
          <w:bCs w:val="0"/>
        </w:rPr>
      </w:pPr>
      <w:bookmarkStart w:id="0" w:name="_Toc17444515"/>
      <w:r>
        <w:rPr>
          <w:rFonts w:hint="eastAsia" w:ascii="宋体" w:hAnsi="宋体" w:cs="宋体"/>
          <w:bCs w:val="0"/>
        </w:rPr>
        <w:t>招标公告</w:t>
      </w:r>
      <w:bookmarkEnd w:id="0"/>
    </w:p>
    <w:p>
      <w:pPr>
        <w:spacing w:line="440" w:lineRule="exact"/>
        <w:ind w:firstLine="960" w:firstLineChars="400"/>
        <w:rPr>
          <w:rFonts w:ascii="宋体" w:hAnsi="宋体"/>
        </w:rPr>
      </w:pPr>
      <w:r>
        <w:rPr>
          <w:rFonts w:hint="eastAsia" w:ascii="宋体" w:hAnsi="宋体"/>
        </w:rPr>
        <w:t>武陟县疾病预防控制中心P2实验室建设项目设备购置采购项目招标公告</w:t>
      </w:r>
    </w:p>
    <w:p>
      <w:pPr>
        <w:spacing w:line="440" w:lineRule="exact"/>
        <w:rPr>
          <w:rFonts w:ascii="宋体" w:hAnsi="宋体"/>
        </w:rPr>
      </w:pPr>
      <w:r>
        <w:rPr>
          <w:rFonts w:hint="eastAsia" w:ascii="宋体" w:hAnsi="宋体"/>
        </w:rPr>
        <w:t>项目概况</w:t>
      </w:r>
    </w:p>
    <w:p>
      <w:pPr>
        <w:spacing w:line="440" w:lineRule="exact"/>
        <w:ind w:firstLine="480" w:firstLineChars="200"/>
        <w:rPr>
          <w:rFonts w:ascii="宋体" w:hAnsi="宋体"/>
        </w:rPr>
      </w:pPr>
      <w:r>
        <w:rPr>
          <w:rFonts w:hint="eastAsia" w:ascii="宋体" w:hAnsi="宋体"/>
        </w:rPr>
        <w:t>武陟县疾病预防控制中心P2实验室建设项目设备购置招标项目的潜在投标人应登陆武陟县公共资源交易中心网，进入焦作市公共资源交易中心网站会员系统获取招标文件，并于</w:t>
      </w:r>
      <w:r>
        <w:rPr>
          <w:rFonts w:hint="eastAsia" w:ascii="宋体" w:hAnsi="宋体"/>
          <w:u w:val="single"/>
        </w:rPr>
        <w:t>2020</w:t>
      </w:r>
      <w:r>
        <w:rPr>
          <w:rFonts w:hint="eastAsia" w:ascii="宋体" w:hAnsi="宋体"/>
        </w:rPr>
        <w:t>年</w:t>
      </w:r>
      <w:r>
        <w:rPr>
          <w:rFonts w:hint="eastAsia" w:ascii="宋体" w:hAnsi="宋体"/>
          <w:u w:val="single"/>
        </w:rPr>
        <w:t>11</w:t>
      </w:r>
      <w:r>
        <w:rPr>
          <w:rFonts w:hint="eastAsia" w:ascii="宋体" w:hAnsi="宋体"/>
        </w:rPr>
        <w:t>月</w:t>
      </w:r>
      <w:r>
        <w:rPr>
          <w:rFonts w:hint="eastAsia" w:ascii="宋体" w:hAnsi="宋体"/>
          <w:u w:val="single"/>
        </w:rPr>
        <w:t>5</w:t>
      </w:r>
      <w:r>
        <w:rPr>
          <w:rFonts w:hint="eastAsia" w:ascii="宋体" w:hAnsi="宋体"/>
        </w:rPr>
        <w:t>日</w:t>
      </w:r>
      <w:r>
        <w:rPr>
          <w:rFonts w:hint="eastAsia" w:ascii="宋体" w:hAnsi="宋体"/>
          <w:u w:val="single"/>
        </w:rPr>
        <w:t>9</w:t>
      </w:r>
      <w:r>
        <w:rPr>
          <w:rFonts w:hint="eastAsia" w:ascii="宋体" w:hAnsi="宋体"/>
        </w:rPr>
        <w:t>点</w:t>
      </w:r>
      <w:r>
        <w:rPr>
          <w:rFonts w:hint="eastAsia" w:ascii="宋体" w:hAnsi="宋体"/>
          <w:u w:val="single"/>
        </w:rPr>
        <w:t>00</w:t>
      </w:r>
      <w:r>
        <w:rPr>
          <w:rFonts w:hint="eastAsia" w:ascii="宋体" w:hAnsi="宋体"/>
        </w:rPr>
        <w:t>分</w:t>
      </w:r>
      <w:r>
        <w:rPr>
          <w:rFonts w:hint="eastAsia" w:ascii="宋体" w:hAnsi="宋体"/>
          <w:u w:val="single"/>
        </w:rPr>
        <w:t>00</w:t>
      </w:r>
      <w:r>
        <w:rPr>
          <w:rFonts w:hint="eastAsia" w:ascii="宋体" w:hAnsi="宋体"/>
        </w:rPr>
        <w:t>秒（北京时间）前递交投标文件。</w:t>
      </w:r>
    </w:p>
    <w:p>
      <w:pPr>
        <w:numPr>
          <w:ilvl w:val="0"/>
          <w:numId w:val="3"/>
        </w:numPr>
        <w:spacing w:line="440" w:lineRule="exact"/>
        <w:ind w:firstLine="482" w:firstLineChars="200"/>
        <w:jc w:val="left"/>
        <w:rPr>
          <w:rFonts w:ascii="宋体" w:hAnsi="宋体"/>
          <w:b/>
          <w:bCs/>
        </w:rPr>
      </w:pPr>
      <w:r>
        <w:rPr>
          <w:rFonts w:hint="eastAsia" w:ascii="宋体" w:hAnsi="宋体"/>
          <w:b/>
          <w:bCs/>
        </w:rPr>
        <w:t>项目基本情况</w:t>
      </w:r>
    </w:p>
    <w:p>
      <w:pPr>
        <w:spacing w:line="440" w:lineRule="exact"/>
        <w:ind w:left="480" w:leftChars="200"/>
        <w:jc w:val="left"/>
        <w:rPr>
          <w:rFonts w:ascii="宋体" w:hAnsi="宋体"/>
        </w:rPr>
      </w:pPr>
      <w:r>
        <w:rPr>
          <w:rFonts w:hint="eastAsia" w:ascii="宋体" w:hAnsi="宋体"/>
        </w:rPr>
        <w:t>项目编号：武政招标采购[2020]087号</w:t>
      </w:r>
    </w:p>
    <w:p>
      <w:pPr>
        <w:spacing w:line="440" w:lineRule="exact"/>
        <w:ind w:left="480" w:leftChars="200"/>
        <w:jc w:val="left"/>
        <w:rPr>
          <w:rFonts w:ascii="宋体" w:hAnsi="宋体"/>
        </w:rPr>
      </w:pPr>
      <w:r>
        <w:rPr>
          <w:rFonts w:hint="eastAsia" w:ascii="宋体" w:hAnsi="宋体"/>
        </w:rPr>
        <w:t>交易编号：武交采GKZB2020-031号</w:t>
      </w:r>
    </w:p>
    <w:p>
      <w:pPr>
        <w:spacing w:line="440" w:lineRule="exact"/>
        <w:ind w:left="480" w:leftChars="200"/>
        <w:jc w:val="left"/>
        <w:rPr>
          <w:rFonts w:ascii="宋体" w:hAnsi="宋体"/>
          <w:shd w:val="clear" w:color="auto" w:fill="FFFF00"/>
        </w:rPr>
      </w:pPr>
      <w:r>
        <w:rPr>
          <w:rFonts w:hint="eastAsia" w:ascii="宋体" w:hAnsi="宋体"/>
        </w:rPr>
        <w:t>项目名称：武陟县疾病预防控制中心P2实验室建设项目设备购置采购项目</w:t>
      </w:r>
    </w:p>
    <w:p>
      <w:pPr>
        <w:spacing w:line="440" w:lineRule="exact"/>
        <w:ind w:left="480" w:leftChars="200"/>
        <w:jc w:val="left"/>
        <w:rPr>
          <w:rFonts w:ascii="宋体" w:hAnsi="宋体"/>
        </w:rPr>
      </w:pPr>
      <w:r>
        <w:rPr>
          <w:rFonts w:hint="eastAsia" w:ascii="宋体" w:hAnsi="宋体"/>
        </w:rPr>
        <w:t>预算金额：320万元</w:t>
      </w:r>
    </w:p>
    <w:p>
      <w:pPr>
        <w:spacing w:line="440" w:lineRule="exact"/>
        <w:ind w:left="480" w:leftChars="200"/>
        <w:jc w:val="left"/>
        <w:rPr>
          <w:rFonts w:ascii="宋体" w:hAnsi="宋体"/>
        </w:rPr>
      </w:pPr>
      <w:r>
        <w:rPr>
          <w:rFonts w:hint="eastAsia" w:ascii="宋体" w:hAnsi="宋体"/>
        </w:rPr>
        <w:t>最高限价：无</w:t>
      </w:r>
    </w:p>
    <w:p>
      <w:pPr>
        <w:spacing w:line="440" w:lineRule="exact"/>
        <w:ind w:firstLine="420" w:firstLineChars="175"/>
        <w:rPr>
          <w:rFonts w:ascii="宋体" w:hAnsi="宋体"/>
          <w:shd w:val="clear" w:color="auto" w:fill="FFFF00"/>
        </w:rPr>
      </w:pPr>
      <w:r>
        <w:rPr>
          <w:rFonts w:hint="eastAsia" w:ascii="宋体" w:hAnsi="宋体"/>
        </w:rPr>
        <w:t>采购需求：武陟县疾病预防控制中心P2实验室建设项目设备购置及安装(详见《河南省政府采购网》本公告附件)</w:t>
      </w:r>
    </w:p>
    <w:p>
      <w:pPr>
        <w:spacing w:line="440" w:lineRule="exact"/>
        <w:ind w:left="480" w:leftChars="200"/>
        <w:jc w:val="left"/>
        <w:rPr>
          <w:rFonts w:ascii="宋体" w:hAnsi="宋体"/>
        </w:rPr>
      </w:pPr>
      <w:r>
        <w:rPr>
          <w:rFonts w:hint="eastAsia" w:ascii="宋体" w:hAnsi="宋体"/>
        </w:rPr>
        <w:t>合同履行期限：签订合同后25日历天。</w:t>
      </w:r>
    </w:p>
    <w:p>
      <w:pPr>
        <w:spacing w:line="440" w:lineRule="exact"/>
        <w:ind w:left="480" w:leftChars="200"/>
        <w:rPr>
          <w:rFonts w:ascii="宋体" w:hAnsi="宋体"/>
        </w:rPr>
      </w:pPr>
      <w:r>
        <w:rPr>
          <w:rFonts w:hint="eastAsia" w:ascii="宋体" w:hAnsi="宋体"/>
        </w:rPr>
        <w:t>本项目不接受联合体投标。</w:t>
      </w:r>
    </w:p>
    <w:p>
      <w:pPr>
        <w:numPr>
          <w:ilvl w:val="0"/>
          <w:numId w:val="3"/>
        </w:numPr>
        <w:spacing w:line="440" w:lineRule="exact"/>
        <w:ind w:firstLine="482" w:firstLineChars="200"/>
        <w:rPr>
          <w:rFonts w:ascii="宋体" w:hAnsi="宋体"/>
          <w:b/>
          <w:bCs/>
          <w:shd w:val="clear" w:color="auto" w:fill="FFFF00"/>
        </w:rPr>
      </w:pPr>
      <w:r>
        <w:rPr>
          <w:rFonts w:hint="eastAsia" w:ascii="宋体" w:hAnsi="宋体"/>
          <w:b/>
          <w:bCs/>
        </w:rPr>
        <w:t>申请人的资格要求：</w:t>
      </w:r>
    </w:p>
    <w:p>
      <w:pPr>
        <w:numPr>
          <w:ilvl w:val="0"/>
          <w:numId w:val="4"/>
        </w:numPr>
        <w:spacing w:line="440" w:lineRule="exact"/>
        <w:ind w:firstLine="480" w:firstLineChars="200"/>
        <w:rPr>
          <w:rFonts w:ascii="宋体" w:hAnsi="宋体"/>
        </w:rPr>
      </w:pPr>
      <w:r>
        <w:rPr>
          <w:rFonts w:hint="eastAsia" w:ascii="宋体" w:hAnsi="宋体"/>
        </w:rPr>
        <w:t>满足《中华人民共和国政府采购法》第二十二条规定；</w:t>
      </w:r>
    </w:p>
    <w:p>
      <w:pPr>
        <w:numPr>
          <w:ilvl w:val="0"/>
          <w:numId w:val="4"/>
        </w:numPr>
        <w:spacing w:line="440" w:lineRule="exact"/>
        <w:ind w:firstLine="480" w:firstLineChars="200"/>
        <w:rPr>
          <w:rFonts w:ascii="宋体" w:hAnsi="宋体"/>
        </w:rPr>
      </w:pPr>
      <w:r>
        <w:rPr>
          <w:rFonts w:hint="eastAsia" w:ascii="宋体" w:hAnsi="宋体"/>
        </w:rPr>
        <w:t>落实政府采购政策需满足的资格要求：本项目采购</w:t>
      </w:r>
      <w:r>
        <w:rPr>
          <w:rFonts w:hint="eastAsia" w:ascii="宋体" w:hAnsi="宋体"/>
          <w:u w:val="single"/>
        </w:rPr>
        <w:t>电脑、打印机</w:t>
      </w:r>
      <w:r>
        <w:rPr>
          <w:rFonts w:hint="eastAsia" w:ascii="宋体" w:hAnsi="宋体"/>
        </w:rPr>
        <w:t>产品提供依据国家确定的认证机构出具的、处于有效期之内的节能产品认证证书；</w:t>
      </w:r>
    </w:p>
    <w:p>
      <w:pPr>
        <w:numPr>
          <w:ilvl w:val="0"/>
          <w:numId w:val="4"/>
        </w:numPr>
        <w:spacing w:line="440" w:lineRule="exact"/>
        <w:ind w:firstLine="480" w:firstLineChars="200"/>
        <w:rPr>
          <w:rFonts w:ascii="宋体" w:hAnsi="宋体"/>
        </w:rPr>
      </w:pPr>
      <w:r>
        <w:rPr>
          <w:rFonts w:hint="eastAsia" w:ascii="宋体" w:hAnsi="宋体"/>
        </w:rPr>
        <w:t>本项目的特定资格要求：</w:t>
      </w:r>
    </w:p>
    <w:p>
      <w:pPr>
        <w:spacing w:line="440" w:lineRule="exact"/>
        <w:ind w:firstLine="480" w:firstLineChars="200"/>
        <w:rPr>
          <w:rFonts w:ascii="宋体" w:hAnsi="宋体"/>
          <w:color w:val="FF0000"/>
          <w:szCs w:val="21"/>
        </w:rPr>
      </w:pPr>
      <w:r>
        <w:rPr>
          <w:rFonts w:hint="eastAsia" w:ascii="宋体" w:hAnsi="宋体"/>
          <w:color w:val="333333"/>
          <w:shd w:val="clear" w:color="auto" w:fill="FFFFFF"/>
        </w:rPr>
        <w:t>3.1供应商是生产商的须提供相关有效的《医疗器械注册证》及《医疗器械生产许可证》；供应商是经销商的需具有有效的《医疗器械经营许可证》，进口产品出具制造商或者其指定总代授权委托书。（不属于医疗器械的投标产品，不需要提供）；</w:t>
      </w:r>
    </w:p>
    <w:p>
      <w:pPr>
        <w:spacing w:line="440" w:lineRule="exact"/>
        <w:ind w:left="480" w:leftChars="200"/>
        <w:rPr>
          <w:rFonts w:ascii="宋体" w:hAnsi="宋体"/>
        </w:rPr>
      </w:pPr>
      <w:r>
        <w:rPr>
          <w:rFonts w:hint="eastAsia" w:ascii="宋体" w:hAnsi="宋体"/>
        </w:rPr>
        <w:t>3.2投标人及其法定代表人、委托代理人均无行贿犯罪记录；</w:t>
      </w:r>
    </w:p>
    <w:p>
      <w:pPr>
        <w:spacing w:line="440" w:lineRule="exact"/>
        <w:ind w:firstLine="480" w:firstLineChars="200"/>
        <w:rPr>
          <w:rFonts w:ascii="宋体" w:hAnsi="宋体"/>
        </w:rPr>
      </w:pPr>
      <w:r>
        <w:rPr>
          <w:rFonts w:hint="eastAsia" w:ascii="宋体" w:hAnsi="宋体"/>
        </w:rPr>
        <w:t>3.3经中国人民银行备案的第三方征信机构出具的有效期内的信用报告，信用等级达到A级及以上，并提供出具该信用报告的第三方征信机构在中国人民银行备案的证明材料；</w:t>
      </w:r>
    </w:p>
    <w:p>
      <w:pPr>
        <w:spacing w:line="440" w:lineRule="exact"/>
        <w:ind w:firstLine="420" w:firstLineChars="175"/>
        <w:rPr>
          <w:rFonts w:ascii="宋体" w:hAnsi="宋体"/>
        </w:rPr>
      </w:pPr>
      <w:r>
        <w:rPr>
          <w:rFonts w:hint="eastAsia" w:ascii="宋体" w:hAnsi="宋体"/>
        </w:rPr>
        <w:t>3.4提供《武陟县公共资源交易中心交易诚信查询系统》诚信状态查询结果，交易诚信状态查询结果须为“绿色”状态（查询时间自招标公告发布之日起至开标时间前一天止）；</w:t>
      </w:r>
    </w:p>
    <w:p>
      <w:pPr>
        <w:spacing w:line="440" w:lineRule="exact"/>
        <w:ind w:firstLine="480" w:firstLineChars="200"/>
        <w:rPr>
          <w:rFonts w:ascii="宋体" w:hAnsi="宋体"/>
        </w:rPr>
      </w:pPr>
      <w:r>
        <w:rPr>
          <w:rFonts w:hint="eastAsia" w:ascii="宋体" w:hAnsi="宋体"/>
        </w:rPr>
        <w:t>3.5不得被列入失信被执行人、重大税收违法案件当事人名单、政府采购严重违法失信行为记录名单、经营异常名录或者严重违法失信企业名单；</w:t>
      </w:r>
    </w:p>
    <w:p>
      <w:pPr>
        <w:numPr>
          <w:ilvl w:val="0"/>
          <w:numId w:val="3"/>
        </w:numPr>
        <w:spacing w:line="440" w:lineRule="exact"/>
        <w:ind w:firstLine="482" w:firstLineChars="200"/>
        <w:rPr>
          <w:rFonts w:ascii="宋体" w:hAnsi="宋体"/>
          <w:b/>
          <w:bCs/>
          <w:shd w:val="clear" w:color="auto" w:fill="FFFF00"/>
        </w:rPr>
      </w:pPr>
      <w:r>
        <w:rPr>
          <w:rFonts w:hint="eastAsia" w:ascii="宋体" w:hAnsi="宋体"/>
          <w:b/>
          <w:bCs/>
        </w:rPr>
        <w:t>获取招标文件：</w:t>
      </w:r>
    </w:p>
    <w:p>
      <w:pPr>
        <w:numPr>
          <w:ilvl w:val="0"/>
          <w:numId w:val="5"/>
        </w:numPr>
        <w:spacing w:line="440" w:lineRule="exact"/>
        <w:ind w:firstLine="480" w:firstLineChars="200"/>
        <w:jc w:val="left"/>
        <w:rPr>
          <w:rFonts w:ascii="宋体" w:hAnsi="宋体"/>
          <w:shd w:val="clear" w:color="auto" w:fill="FFFF00"/>
        </w:rPr>
      </w:pPr>
      <w:r>
        <w:rPr>
          <w:rFonts w:hint="eastAsia" w:ascii="宋体" w:hAnsi="宋体"/>
        </w:rPr>
        <w:t>时间：2020年10月 15日至2020年10 月 22 日（北京时间）；</w:t>
      </w:r>
    </w:p>
    <w:p>
      <w:pPr>
        <w:numPr>
          <w:ilvl w:val="0"/>
          <w:numId w:val="5"/>
        </w:numPr>
        <w:spacing w:line="440" w:lineRule="exact"/>
        <w:ind w:firstLine="480" w:firstLineChars="200"/>
        <w:jc w:val="left"/>
        <w:rPr>
          <w:rFonts w:ascii="宋体" w:hAnsi="宋体"/>
          <w:shd w:val="clear" w:color="auto" w:fill="FFFF00"/>
        </w:rPr>
      </w:pPr>
      <w:r>
        <w:rPr>
          <w:rFonts w:hint="eastAsia" w:ascii="宋体" w:hAnsi="宋体"/>
        </w:rPr>
        <w:t>地点：登陆武陟县公共资源交易中心网，进入焦作市公共资源交易中心网站会员系统；</w:t>
      </w:r>
    </w:p>
    <w:p>
      <w:pPr>
        <w:pStyle w:val="12"/>
        <w:numPr>
          <w:ilvl w:val="0"/>
          <w:numId w:val="5"/>
        </w:numPr>
        <w:spacing w:line="440" w:lineRule="exact"/>
        <w:ind w:firstLine="420" w:firstLineChars="175"/>
        <w:jc w:val="left"/>
        <w:rPr>
          <w:rFonts w:ascii="宋体" w:hAnsi="宋体" w:eastAsia="宋体" w:cs="宋体"/>
          <w:sz w:val="24"/>
        </w:rPr>
      </w:pPr>
      <w:r>
        <w:rPr>
          <w:rFonts w:hint="eastAsia" w:ascii="宋体" w:hAnsi="宋体" w:eastAsia="宋体" w:cs="宋体"/>
          <w:sz w:val="24"/>
        </w:rPr>
        <w:t>方式：采用网上获取招标文件；</w:t>
      </w:r>
    </w:p>
    <w:p>
      <w:pPr>
        <w:spacing w:line="440" w:lineRule="exact"/>
        <w:ind w:firstLine="600" w:firstLineChars="250"/>
        <w:rPr>
          <w:rFonts w:ascii="宋体" w:hAnsi="宋体"/>
        </w:rPr>
      </w:pPr>
      <w:r>
        <w:rPr>
          <w:rFonts w:hint="eastAsia" w:ascii="宋体" w:hAnsi="宋体"/>
        </w:rPr>
        <w:t>特别提醒：获取招标文件前请到焦作市公共资源交易中心官网首页-下载中心-下载《焦作市电子招投标系统操作手册》，按要求进行网上下载招标文件。</w:t>
      </w:r>
    </w:p>
    <w:p>
      <w:pPr>
        <w:pStyle w:val="12"/>
        <w:numPr>
          <w:ilvl w:val="0"/>
          <w:numId w:val="5"/>
        </w:numPr>
        <w:spacing w:line="440" w:lineRule="exact"/>
        <w:ind w:firstLine="420" w:firstLineChars="175"/>
        <w:jc w:val="left"/>
        <w:rPr>
          <w:rFonts w:ascii="宋体" w:hAnsi="宋体" w:eastAsia="宋体" w:cs="宋体"/>
          <w:sz w:val="24"/>
        </w:rPr>
      </w:pPr>
      <w:r>
        <w:rPr>
          <w:rFonts w:hint="eastAsia" w:ascii="宋体" w:hAnsi="宋体" w:eastAsia="宋体" w:cs="宋体"/>
          <w:sz w:val="24"/>
        </w:rPr>
        <w:t>售价:</w:t>
      </w:r>
      <w:r>
        <w:rPr>
          <w:rFonts w:hint="eastAsia" w:ascii="宋体" w:hAnsi="宋体" w:eastAsia="宋体" w:cs="宋体"/>
          <w:sz w:val="24"/>
          <w:u w:val="single"/>
        </w:rPr>
        <w:t>300</w:t>
      </w:r>
      <w:r>
        <w:rPr>
          <w:rFonts w:hint="eastAsia" w:ascii="宋体" w:hAnsi="宋体" w:eastAsia="宋体" w:cs="宋体"/>
          <w:sz w:val="24"/>
        </w:rPr>
        <w:t>元/份。开标现场支付，售后不退。</w:t>
      </w:r>
    </w:p>
    <w:p>
      <w:pPr>
        <w:numPr>
          <w:ilvl w:val="0"/>
          <w:numId w:val="3"/>
        </w:numPr>
        <w:spacing w:line="440" w:lineRule="exact"/>
        <w:ind w:firstLine="482" w:firstLineChars="200"/>
        <w:rPr>
          <w:rFonts w:ascii="宋体" w:hAnsi="宋体"/>
          <w:b/>
          <w:bCs/>
        </w:rPr>
      </w:pPr>
      <w:r>
        <w:rPr>
          <w:rFonts w:hint="eastAsia" w:ascii="宋体" w:hAnsi="宋体"/>
          <w:b/>
          <w:bCs/>
        </w:rPr>
        <w:t>提交投标文件截止时间、开标时间和地点</w:t>
      </w:r>
    </w:p>
    <w:p>
      <w:pPr>
        <w:spacing w:line="440" w:lineRule="exact"/>
        <w:ind w:left="400"/>
        <w:rPr>
          <w:rFonts w:ascii="宋体" w:hAnsi="宋体"/>
          <w:highlight w:val="yellow"/>
        </w:rPr>
      </w:pPr>
      <w:r>
        <w:rPr>
          <w:rFonts w:hint="eastAsia" w:ascii="宋体" w:hAnsi="宋体"/>
        </w:rPr>
        <w:t>1.时间：</w:t>
      </w:r>
      <w:r>
        <w:rPr>
          <w:rFonts w:hint="eastAsia" w:ascii="宋体" w:hAnsi="宋体"/>
          <w:u w:val="single"/>
        </w:rPr>
        <w:t>2020</w:t>
      </w:r>
      <w:r>
        <w:rPr>
          <w:rFonts w:hint="eastAsia" w:ascii="宋体" w:hAnsi="宋体"/>
        </w:rPr>
        <w:t>年</w:t>
      </w:r>
      <w:r>
        <w:rPr>
          <w:rFonts w:hint="eastAsia" w:ascii="宋体" w:hAnsi="宋体"/>
          <w:u w:val="single"/>
        </w:rPr>
        <w:t>11</w:t>
      </w:r>
      <w:r>
        <w:rPr>
          <w:rFonts w:hint="eastAsia" w:ascii="宋体" w:hAnsi="宋体"/>
        </w:rPr>
        <w:t>月</w:t>
      </w:r>
      <w:r>
        <w:rPr>
          <w:rFonts w:hint="eastAsia" w:ascii="宋体" w:hAnsi="宋体"/>
          <w:u w:val="single"/>
        </w:rPr>
        <w:t>5</w:t>
      </w:r>
      <w:r>
        <w:rPr>
          <w:rFonts w:hint="eastAsia" w:ascii="宋体" w:hAnsi="宋体"/>
        </w:rPr>
        <w:t>日</w:t>
      </w:r>
      <w:r>
        <w:rPr>
          <w:rFonts w:hint="eastAsia" w:ascii="宋体" w:hAnsi="宋体"/>
          <w:u w:val="single"/>
        </w:rPr>
        <w:t>9</w:t>
      </w:r>
      <w:r>
        <w:rPr>
          <w:rFonts w:hint="eastAsia" w:ascii="宋体" w:hAnsi="宋体"/>
        </w:rPr>
        <w:t>点</w:t>
      </w:r>
      <w:r>
        <w:rPr>
          <w:rFonts w:hint="eastAsia" w:ascii="宋体" w:hAnsi="宋体"/>
          <w:u w:val="single"/>
        </w:rPr>
        <w:t>00</w:t>
      </w:r>
      <w:r>
        <w:rPr>
          <w:rFonts w:hint="eastAsia" w:ascii="宋体" w:hAnsi="宋体"/>
        </w:rPr>
        <w:t>分</w:t>
      </w:r>
      <w:r>
        <w:rPr>
          <w:rFonts w:hint="eastAsia" w:ascii="宋体" w:hAnsi="宋体"/>
          <w:u w:val="single"/>
        </w:rPr>
        <w:t>00</w:t>
      </w:r>
      <w:r>
        <w:rPr>
          <w:rFonts w:hint="eastAsia" w:ascii="宋体" w:hAnsi="宋体"/>
        </w:rPr>
        <w:t>秒（北京时间）</w:t>
      </w:r>
    </w:p>
    <w:p>
      <w:pPr>
        <w:spacing w:line="440" w:lineRule="exact"/>
        <w:ind w:left="400"/>
        <w:jc w:val="left"/>
        <w:rPr>
          <w:rFonts w:ascii="宋体" w:hAnsi="宋体"/>
        </w:rPr>
      </w:pPr>
      <w:r>
        <w:rPr>
          <w:rFonts w:hint="eastAsia" w:ascii="宋体" w:hAnsi="宋体"/>
        </w:rPr>
        <w:t>2.地点：武陟县公共资源交易中心二楼开标</w:t>
      </w:r>
      <w:r>
        <w:rPr>
          <w:rFonts w:hint="eastAsia" w:ascii="宋体" w:hAnsi="宋体"/>
          <w:u w:val="single"/>
        </w:rPr>
        <w:t>三</w:t>
      </w:r>
      <w:r>
        <w:rPr>
          <w:rFonts w:hint="eastAsia" w:ascii="宋体" w:hAnsi="宋体"/>
        </w:rPr>
        <w:t>厅（武陟县河朔大道中段产业集聚区东门）。</w:t>
      </w:r>
    </w:p>
    <w:p>
      <w:pPr>
        <w:numPr>
          <w:ilvl w:val="0"/>
          <w:numId w:val="3"/>
        </w:numPr>
        <w:spacing w:line="440" w:lineRule="exact"/>
        <w:ind w:firstLine="482" w:firstLineChars="200"/>
        <w:rPr>
          <w:rFonts w:ascii="宋体" w:hAnsi="宋体"/>
          <w:b/>
          <w:bCs/>
        </w:rPr>
      </w:pPr>
      <w:r>
        <w:rPr>
          <w:rFonts w:hint="eastAsia" w:ascii="宋体" w:hAnsi="宋体"/>
          <w:b/>
          <w:bCs/>
        </w:rPr>
        <w:t>公告期限：</w:t>
      </w:r>
      <w:r>
        <w:rPr>
          <w:rFonts w:hint="eastAsia" w:ascii="宋体" w:hAnsi="宋体"/>
        </w:rPr>
        <w:t>自本公告发布之日起5个工作日。</w:t>
      </w:r>
    </w:p>
    <w:p>
      <w:pPr>
        <w:numPr>
          <w:ilvl w:val="0"/>
          <w:numId w:val="3"/>
        </w:numPr>
        <w:spacing w:line="440" w:lineRule="exact"/>
        <w:ind w:firstLine="482" w:firstLineChars="200"/>
        <w:rPr>
          <w:rFonts w:ascii="宋体" w:hAnsi="宋体"/>
          <w:b/>
          <w:bCs/>
        </w:rPr>
      </w:pPr>
      <w:r>
        <w:rPr>
          <w:rFonts w:hint="eastAsia" w:ascii="宋体" w:hAnsi="宋体"/>
          <w:b/>
          <w:bCs/>
        </w:rPr>
        <w:t>其他补充事宜：</w:t>
      </w:r>
      <w:r>
        <w:rPr>
          <w:rFonts w:hint="eastAsia" w:ascii="宋体" w:hAnsi="宋体"/>
        </w:rPr>
        <w:t>无</w:t>
      </w:r>
    </w:p>
    <w:p>
      <w:pPr>
        <w:numPr>
          <w:ilvl w:val="0"/>
          <w:numId w:val="3"/>
        </w:numPr>
        <w:spacing w:line="440" w:lineRule="exact"/>
        <w:ind w:firstLine="482" w:firstLineChars="200"/>
        <w:rPr>
          <w:rFonts w:ascii="宋体" w:hAnsi="宋体"/>
          <w:b/>
          <w:bCs/>
        </w:rPr>
      </w:pPr>
      <w:r>
        <w:rPr>
          <w:rFonts w:hint="eastAsia" w:ascii="宋体" w:hAnsi="宋体"/>
          <w:b/>
          <w:bCs/>
        </w:rPr>
        <w:t>对本次招标提出询问，请按以下方式联系。</w:t>
      </w:r>
    </w:p>
    <w:p>
      <w:pPr>
        <w:widowControl/>
        <w:spacing w:line="440" w:lineRule="exact"/>
        <w:jc w:val="left"/>
        <w:rPr>
          <w:rFonts w:ascii="宋体" w:hAnsi="宋体"/>
        </w:rPr>
      </w:pPr>
      <w:r>
        <w:rPr>
          <w:rFonts w:hint="eastAsia" w:ascii="宋体" w:hAnsi="宋体"/>
        </w:rPr>
        <w:t>　  1.采购人信息</w:t>
      </w:r>
    </w:p>
    <w:p>
      <w:pPr>
        <w:spacing w:line="440" w:lineRule="exact"/>
        <w:ind w:left="1190" w:leftChars="371" w:hanging="300" w:hangingChars="125"/>
        <w:jc w:val="left"/>
        <w:rPr>
          <w:rFonts w:ascii="宋体" w:hAnsi="宋体"/>
        </w:rPr>
      </w:pPr>
      <w:r>
        <w:rPr>
          <w:rFonts w:hint="eastAsia" w:ascii="宋体" w:hAnsi="宋体"/>
        </w:rPr>
        <w:t>名称：武陟县疾病预防控制中心</w:t>
      </w:r>
    </w:p>
    <w:p>
      <w:pPr>
        <w:spacing w:line="440" w:lineRule="exact"/>
        <w:ind w:left="1190" w:leftChars="371" w:hanging="300" w:hangingChars="125"/>
        <w:jc w:val="left"/>
        <w:rPr>
          <w:rFonts w:ascii="宋体" w:hAnsi="宋体"/>
        </w:rPr>
      </w:pPr>
      <w:r>
        <w:rPr>
          <w:rFonts w:hint="eastAsia" w:ascii="宋体" w:hAnsi="宋体"/>
        </w:rPr>
        <w:t>地址：焦作市武陟县黄河大道050号</w:t>
      </w:r>
    </w:p>
    <w:p>
      <w:pPr>
        <w:spacing w:line="440" w:lineRule="exact"/>
        <w:ind w:left="1190" w:leftChars="371" w:hanging="300" w:hangingChars="125"/>
        <w:jc w:val="left"/>
        <w:rPr>
          <w:rFonts w:ascii="宋体" w:hAnsi="宋体"/>
        </w:rPr>
      </w:pPr>
      <w:r>
        <w:rPr>
          <w:rFonts w:hint="eastAsia" w:ascii="宋体" w:hAnsi="宋体"/>
        </w:rPr>
        <w:t>联系方式：13782702999</w:t>
      </w:r>
    </w:p>
    <w:p>
      <w:pPr>
        <w:spacing w:line="440" w:lineRule="exact"/>
        <w:ind w:firstLine="480" w:firstLineChars="200"/>
        <w:jc w:val="left"/>
        <w:rPr>
          <w:rFonts w:ascii="宋体" w:hAnsi="宋体"/>
        </w:rPr>
      </w:pPr>
      <w:r>
        <w:rPr>
          <w:rFonts w:hint="eastAsia" w:ascii="宋体" w:hAnsi="宋体"/>
        </w:rPr>
        <w:t>2.采购代理机构信息</w:t>
      </w:r>
    </w:p>
    <w:p>
      <w:pPr>
        <w:spacing w:line="440" w:lineRule="exact"/>
        <w:ind w:firstLine="720" w:firstLineChars="300"/>
        <w:rPr>
          <w:rFonts w:ascii="宋体" w:hAnsi="宋体"/>
        </w:rPr>
      </w:pPr>
      <w:r>
        <w:rPr>
          <w:rFonts w:hint="eastAsia" w:ascii="宋体" w:hAnsi="宋体"/>
        </w:rPr>
        <w:t>名称：河南省光大建设管理有限公司</w:t>
      </w:r>
    </w:p>
    <w:p>
      <w:pPr>
        <w:spacing w:line="440" w:lineRule="exact"/>
        <w:ind w:firstLine="720" w:firstLineChars="300"/>
        <w:rPr>
          <w:rFonts w:ascii="宋体" w:hAnsi="宋体"/>
        </w:rPr>
      </w:pPr>
      <w:r>
        <w:rPr>
          <w:rFonts w:hint="eastAsia" w:ascii="宋体" w:hAnsi="宋体"/>
        </w:rPr>
        <w:t>地址：焦作市示范区正大国贸中心6号楼22层</w:t>
      </w:r>
    </w:p>
    <w:p>
      <w:pPr>
        <w:spacing w:line="440" w:lineRule="exact"/>
        <w:ind w:firstLine="720" w:firstLineChars="300"/>
        <w:rPr>
          <w:rFonts w:ascii="宋体" w:hAnsi="宋体"/>
        </w:rPr>
      </w:pPr>
      <w:r>
        <w:rPr>
          <w:rFonts w:hint="eastAsia" w:ascii="宋体" w:hAnsi="宋体"/>
        </w:rPr>
        <w:t>联系方式：0391-7289803</w:t>
      </w:r>
    </w:p>
    <w:p>
      <w:pPr>
        <w:spacing w:line="440" w:lineRule="exact"/>
        <w:ind w:firstLine="480" w:firstLineChars="200"/>
        <w:rPr>
          <w:rFonts w:ascii="宋体" w:hAnsi="宋体"/>
          <w:u w:val="single"/>
        </w:rPr>
      </w:pPr>
      <w:r>
        <w:rPr>
          <w:rFonts w:hint="eastAsia" w:ascii="宋体" w:hAnsi="宋体"/>
        </w:rPr>
        <w:t>3.项目联系方式</w:t>
      </w:r>
    </w:p>
    <w:p>
      <w:pPr>
        <w:pStyle w:val="17"/>
        <w:spacing w:line="440" w:lineRule="exact"/>
        <w:ind w:firstLine="720" w:firstLineChars="300"/>
        <w:rPr>
          <w:rFonts w:hAnsi="宋体" w:cs="宋体"/>
          <w:sz w:val="24"/>
          <w:szCs w:val="24"/>
        </w:rPr>
      </w:pPr>
      <w:r>
        <w:rPr>
          <w:rFonts w:hint="eastAsia" w:hAnsi="宋体" w:cs="宋体"/>
          <w:sz w:val="24"/>
          <w:szCs w:val="24"/>
        </w:rPr>
        <w:t>项目联系人：王自力      电　话：13782702999　　　　　</w:t>
      </w:r>
    </w:p>
    <w:p>
      <w:pPr>
        <w:widowControl/>
        <w:spacing w:line="440" w:lineRule="exact"/>
        <w:jc w:val="right"/>
        <w:rPr>
          <w:rFonts w:hint="eastAsia" w:ascii="宋体" w:hAnsi="宋体"/>
        </w:rPr>
      </w:pPr>
      <w:r>
        <w:rPr>
          <w:rFonts w:hint="eastAsia" w:ascii="宋体" w:hAnsi="宋体"/>
        </w:rPr>
        <w:t xml:space="preserve">                                     </w:t>
      </w:r>
    </w:p>
    <w:p>
      <w:pPr>
        <w:widowControl/>
        <w:spacing w:line="440" w:lineRule="exact"/>
        <w:jc w:val="right"/>
        <w:rPr>
          <w:rFonts w:hint="eastAsia" w:ascii="宋体" w:hAnsi="宋体"/>
        </w:rPr>
      </w:pPr>
    </w:p>
    <w:p>
      <w:pPr>
        <w:widowControl/>
        <w:spacing w:line="440" w:lineRule="exact"/>
        <w:jc w:val="right"/>
        <w:rPr>
          <w:rFonts w:hint="eastAsia" w:ascii="宋体" w:hAnsi="宋体"/>
        </w:rPr>
      </w:pPr>
    </w:p>
    <w:p>
      <w:pPr>
        <w:widowControl/>
        <w:spacing w:line="440" w:lineRule="exact"/>
        <w:jc w:val="right"/>
        <w:rPr>
          <w:rFonts w:hint="eastAsia" w:ascii="宋体" w:hAnsi="宋体"/>
        </w:rPr>
      </w:pPr>
    </w:p>
    <w:p>
      <w:pPr>
        <w:widowControl/>
        <w:spacing w:line="440" w:lineRule="exact"/>
        <w:jc w:val="right"/>
        <w:rPr>
          <w:rFonts w:ascii="宋体" w:hAnsi="宋体"/>
        </w:rPr>
      </w:pPr>
      <w:r>
        <w:rPr>
          <w:rFonts w:hint="eastAsia" w:ascii="宋体" w:hAnsi="宋体"/>
        </w:rPr>
        <w:t xml:space="preserve">时间：2020年 10 月 15 日 </w:t>
      </w:r>
    </w:p>
    <w:p>
      <w:pPr>
        <w:pStyle w:val="34"/>
        <w:ind w:firstLine="280"/>
        <w:rPr>
          <w:rFonts w:eastAsia="宋体"/>
        </w:rPr>
      </w:pPr>
    </w:p>
    <w:p>
      <w:pPr>
        <w:pStyle w:val="35"/>
        <w:ind w:left="480" w:firstLine="560"/>
        <w:rPr>
          <w:rFonts w:ascii="Times New Roman" w:hAnsi="Times New Roman" w:eastAsia="宋体" w:cs="Times New Roman"/>
        </w:rPr>
      </w:pPr>
    </w:p>
    <w:p>
      <w:pPr>
        <w:pStyle w:val="26"/>
        <w:ind w:firstLine="480"/>
      </w:pPr>
    </w:p>
    <w:p>
      <w:pPr>
        <w:pStyle w:val="26"/>
        <w:ind w:firstLine="480"/>
      </w:pPr>
    </w:p>
    <w:p>
      <w:pPr>
        <w:pStyle w:val="32"/>
        <w:numPr>
          <w:ilvl w:val="0"/>
          <w:numId w:val="2"/>
        </w:numPr>
        <w:spacing w:line="480" w:lineRule="exact"/>
        <w:ind w:right="-72" w:rightChars="-30"/>
        <w:rPr>
          <w:rFonts w:ascii="宋体" w:hAnsi="宋体" w:cs="宋体"/>
          <w:bCs w:val="0"/>
        </w:rPr>
      </w:pPr>
      <w:bookmarkStart w:id="1" w:name="_Toc477166570"/>
      <w:bookmarkStart w:id="2" w:name="_Toc17444516"/>
      <w:r>
        <w:rPr>
          <w:rFonts w:hint="eastAsia" w:ascii="宋体" w:hAnsi="宋体" w:cs="宋体"/>
          <w:bCs w:val="0"/>
        </w:rPr>
        <w:t>投标人须知</w:t>
      </w:r>
      <w:bookmarkEnd w:id="1"/>
      <w:bookmarkEnd w:id="2"/>
    </w:p>
    <w:p>
      <w:pPr>
        <w:pStyle w:val="3"/>
        <w:spacing w:before="0" w:after="0" w:line="540" w:lineRule="exact"/>
        <w:jc w:val="center"/>
        <w:rPr>
          <w:rFonts w:ascii="宋体" w:hAnsi="宋体" w:cs="宋体"/>
          <w:bCs w:val="0"/>
          <w:sz w:val="28"/>
          <w:szCs w:val="28"/>
        </w:rPr>
      </w:pPr>
      <w:bookmarkStart w:id="3" w:name="_Toc17444517"/>
      <w:r>
        <w:rPr>
          <w:rFonts w:hint="eastAsia" w:ascii="宋体" w:hAnsi="宋体" w:cs="宋体"/>
          <w:bCs w:val="0"/>
          <w:sz w:val="28"/>
          <w:szCs w:val="28"/>
        </w:rPr>
        <w:t>投标人须知前附表</w:t>
      </w:r>
      <w:bookmarkEnd w:id="3"/>
    </w:p>
    <w:p>
      <w:pPr>
        <w:rPr>
          <w:rFonts w:ascii="宋体" w:hAnsi="宋体"/>
          <w:kern w:val="0"/>
        </w:rPr>
      </w:pPr>
      <w:r>
        <w:rPr>
          <w:rFonts w:hint="eastAsia" w:ascii="宋体" w:hAnsi="宋体"/>
          <w:kern w:val="0"/>
        </w:rPr>
        <w:t xml:space="preserve">    本表是对招标文件的具体补充和修改，如与招标文件其他部分内容有差异，应以本表为准。</w:t>
      </w:r>
    </w:p>
    <w:tbl>
      <w:tblPr>
        <w:tblStyle w:val="3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3"/>
        <w:gridCol w:w="1562"/>
        <w:gridCol w:w="218"/>
        <w:gridCol w:w="65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43"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kern w:val="0"/>
                <w:szCs w:val="21"/>
              </w:rPr>
            </w:pPr>
            <w:r>
              <w:rPr>
                <w:rFonts w:hint="eastAsia" w:ascii="宋体" w:hAnsi="宋体"/>
                <w:kern w:val="0"/>
                <w:szCs w:val="21"/>
              </w:rPr>
              <w:t>项号</w:t>
            </w:r>
          </w:p>
        </w:tc>
        <w:tc>
          <w:tcPr>
            <w:tcW w:w="1780"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kern w:val="0"/>
                <w:szCs w:val="21"/>
              </w:rPr>
            </w:pPr>
            <w:r>
              <w:rPr>
                <w:rFonts w:hint="eastAsia" w:ascii="宋体" w:hAnsi="宋体"/>
                <w:kern w:val="0"/>
                <w:szCs w:val="21"/>
              </w:rPr>
              <w:t>内  容</w:t>
            </w:r>
          </w:p>
        </w:tc>
        <w:tc>
          <w:tcPr>
            <w:tcW w:w="655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kern w:val="0"/>
                <w:szCs w:val="21"/>
              </w:rPr>
            </w:pPr>
            <w:r>
              <w:rPr>
                <w:rFonts w:hint="eastAsia" w:ascii="宋体" w:hAnsi="宋体"/>
                <w:kern w:val="0"/>
                <w:szCs w:val="21"/>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43" w:type="dxa"/>
            <w:tcBorders>
              <w:top w:val="single" w:color="auto" w:sz="4" w:space="0"/>
              <w:left w:val="single" w:color="auto" w:sz="4" w:space="0"/>
              <w:bottom w:val="single" w:color="auto" w:sz="4" w:space="0"/>
              <w:right w:val="single" w:color="auto" w:sz="4" w:space="0"/>
            </w:tcBorders>
            <w:vAlign w:val="center"/>
          </w:tcPr>
          <w:p>
            <w:pPr>
              <w:numPr>
                <w:ilvl w:val="0"/>
                <w:numId w:val="6"/>
              </w:numPr>
              <w:spacing w:line="400" w:lineRule="exact"/>
              <w:jc w:val="center"/>
              <w:rPr>
                <w:rFonts w:ascii="宋体" w:hAnsi="宋体"/>
                <w:kern w:val="0"/>
                <w:szCs w:val="21"/>
              </w:rPr>
            </w:pPr>
          </w:p>
        </w:tc>
        <w:tc>
          <w:tcPr>
            <w:tcW w:w="1780" w:type="dxa"/>
            <w:gridSpan w:val="2"/>
            <w:tcBorders>
              <w:top w:val="single" w:color="auto" w:sz="4" w:space="0"/>
              <w:left w:val="single" w:color="auto" w:sz="4" w:space="0"/>
              <w:right w:val="single" w:color="auto" w:sz="4" w:space="0"/>
            </w:tcBorders>
            <w:vAlign w:val="center"/>
          </w:tcPr>
          <w:p>
            <w:pPr>
              <w:spacing w:line="400" w:lineRule="exact"/>
              <w:jc w:val="center"/>
              <w:rPr>
                <w:rFonts w:ascii="宋体" w:hAnsi="宋体"/>
                <w:kern w:val="0"/>
                <w:szCs w:val="21"/>
              </w:rPr>
            </w:pPr>
            <w:r>
              <w:rPr>
                <w:rFonts w:hint="eastAsia" w:ascii="宋体" w:hAnsi="宋体"/>
                <w:kern w:val="0"/>
                <w:szCs w:val="21"/>
              </w:rPr>
              <w:t>采购人</w:t>
            </w:r>
          </w:p>
        </w:tc>
        <w:tc>
          <w:tcPr>
            <w:tcW w:w="6557" w:type="dxa"/>
            <w:tcBorders>
              <w:top w:val="single" w:color="auto" w:sz="4" w:space="0"/>
              <w:left w:val="single" w:color="auto" w:sz="4" w:space="0"/>
              <w:right w:val="single" w:color="auto" w:sz="4" w:space="0"/>
            </w:tcBorders>
            <w:vAlign w:val="center"/>
          </w:tcPr>
          <w:p>
            <w:pPr>
              <w:autoSpaceDE w:val="0"/>
              <w:autoSpaceDN w:val="0"/>
              <w:adjustRightInd w:val="0"/>
              <w:rPr>
                <w:rFonts w:ascii="宋体" w:hAnsi="宋体"/>
                <w:szCs w:val="21"/>
              </w:rPr>
            </w:pPr>
            <w:r>
              <w:rPr>
                <w:rFonts w:hint="eastAsia" w:ascii="宋体" w:hAnsi="宋体"/>
                <w:szCs w:val="21"/>
              </w:rPr>
              <w:t>武陟县疾病预防控制中心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43" w:type="dxa"/>
            <w:tcBorders>
              <w:top w:val="single" w:color="auto" w:sz="4" w:space="0"/>
              <w:left w:val="single" w:color="auto" w:sz="4" w:space="0"/>
              <w:bottom w:val="single" w:color="auto" w:sz="4" w:space="0"/>
              <w:right w:val="single" w:color="auto" w:sz="4" w:space="0"/>
            </w:tcBorders>
            <w:vAlign w:val="center"/>
          </w:tcPr>
          <w:p>
            <w:pPr>
              <w:numPr>
                <w:ilvl w:val="0"/>
                <w:numId w:val="6"/>
              </w:numPr>
              <w:spacing w:line="400" w:lineRule="exact"/>
              <w:jc w:val="center"/>
              <w:rPr>
                <w:rFonts w:ascii="宋体" w:hAnsi="宋体"/>
                <w:kern w:val="0"/>
                <w:szCs w:val="21"/>
              </w:rPr>
            </w:pPr>
          </w:p>
        </w:tc>
        <w:tc>
          <w:tcPr>
            <w:tcW w:w="1780" w:type="dxa"/>
            <w:gridSpan w:val="2"/>
            <w:tcBorders>
              <w:left w:val="single" w:color="auto" w:sz="4" w:space="0"/>
              <w:right w:val="single" w:color="auto" w:sz="4" w:space="0"/>
            </w:tcBorders>
            <w:vAlign w:val="center"/>
          </w:tcPr>
          <w:p>
            <w:pPr>
              <w:spacing w:line="400" w:lineRule="exact"/>
              <w:jc w:val="center"/>
              <w:rPr>
                <w:rFonts w:ascii="宋体" w:hAnsi="宋体"/>
                <w:kern w:val="0"/>
                <w:szCs w:val="21"/>
              </w:rPr>
            </w:pPr>
            <w:r>
              <w:rPr>
                <w:rFonts w:hint="eastAsia" w:ascii="宋体" w:hAnsi="宋体"/>
                <w:kern w:val="0"/>
                <w:szCs w:val="21"/>
              </w:rPr>
              <w:t>采购代理机构</w:t>
            </w:r>
          </w:p>
        </w:tc>
        <w:tc>
          <w:tcPr>
            <w:tcW w:w="6557" w:type="dxa"/>
            <w:tcBorders>
              <w:left w:val="single" w:color="auto" w:sz="4" w:space="0"/>
              <w:right w:val="single" w:color="auto" w:sz="4" w:space="0"/>
            </w:tcBorders>
            <w:vAlign w:val="center"/>
          </w:tcPr>
          <w:p>
            <w:pPr>
              <w:spacing w:line="400" w:lineRule="exact"/>
              <w:rPr>
                <w:rFonts w:ascii="宋体" w:hAnsi="宋体"/>
                <w:szCs w:val="21"/>
              </w:rPr>
            </w:pPr>
            <w:r>
              <w:rPr>
                <w:rFonts w:hint="eastAsia" w:ascii="宋体" w:hAnsi="宋体"/>
                <w:szCs w:val="21"/>
              </w:rPr>
              <w:t>河南省光大建设管理有限公司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7" w:hRule="exact"/>
          <w:jc w:val="center"/>
        </w:trPr>
        <w:tc>
          <w:tcPr>
            <w:tcW w:w="843" w:type="dxa"/>
            <w:tcBorders>
              <w:top w:val="single" w:color="auto" w:sz="4" w:space="0"/>
              <w:left w:val="single" w:color="auto" w:sz="4" w:space="0"/>
              <w:bottom w:val="single" w:color="auto" w:sz="4" w:space="0"/>
              <w:right w:val="single" w:color="auto" w:sz="4" w:space="0"/>
            </w:tcBorders>
            <w:vAlign w:val="center"/>
          </w:tcPr>
          <w:p>
            <w:pPr>
              <w:numPr>
                <w:ilvl w:val="0"/>
                <w:numId w:val="6"/>
              </w:numPr>
              <w:spacing w:line="400" w:lineRule="exact"/>
              <w:jc w:val="center"/>
              <w:rPr>
                <w:rFonts w:ascii="宋体" w:hAnsi="宋体"/>
                <w:kern w:val="0"/>
                <w:szCs w:val="21"/>
              </w:rPr>
            </w:pPr>
          </w:p>
        </w:tc>
        <w:tc>
          <w:tcPr>
            <w:tcW w:w="1780" w:type="dxa"/>
            <w:gridSpan w:val="2"/>
            <w:tcBorders>
              <w:left w:val="single" w:color="auto" w:sz="4" w:space="0"/>
              <w:right w:val="single" w:color="auto" w:sz="4" w:space="0"/>
            </w:tcBorders>
            <w:vAlign w:val="center"/>
          </w:tcPr>
          <w:p>
            <w:pPr>
              <w:spacing w:line="400" w:lineRule="exact"/>
              <w:jc w:val="center"/>
              <w:rPr>
                <w:rFonts w:ascii="宋体" w:hAnsi="宋体"/>
                <w:kern w:val="0"/>
                <w:szCs w:val="21"/>
              </w:rPr>
            </w:pPr>
            <w:r>
              <w:rPr>
                <w:rFonts w:hint="eastAsia" w:ascii="宋体" w:hAnsi="宋体"/>
                <w:kern w:val="0"/>
                <w:szCs w:val="21"/>
              </w:rPr>
              <w:t>项目名称</w:t>
            </w:r>
          </w:p>
        </w:tc>
        <w:tc>
          <w:tcPr>
            <w:tcW w:w="6557" w:type="dxa"/>
            <w:tcBorders>
              <w:left w:val="single" w:color="auto" w:sz="4" w:space="0"/>
              <w:right w:val="single" w:color="auto" w:sz="4" w:space="0"/>
            </w:tcBorders>
            <w:vAlign w:val="center"/>
          </w:tcPr>
          <w:p>
            <w:pPr>
              <w:spacing w:line="400" w:lineRule="exact"/>
              <w:rPr>
                <w:rFonts w:ascii="宋体" w:hAnsi="宋体"/>
                <w:szCs w:val="21"/>
              </w:rPr>
            </w:pPr>
            <w:r>
              <w:rPr>
                <w:rFonts w:hint="eastAsia" w:ascii="宋体" w:hAnsi="宋体"/>
              </w:rPr>
              <w:t>武陟县疾病预防控制中心P2实验室建设项目设备购置采购项目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43" w:type="dxa"/>
            <w:tcBorders>
              <w:top w:val="single" w:color="auto" w:sz="4" w:space="0"/>
              <w:left w:val="single" w:color="auto" w:sz="4" w:space="0"/>
              <w:bottom w:val="single" w:color="auto" w:sz="4" w:space="0"/>
              <w:right w:val="single" w:color="auto" w:sz="4" w:space="0"/>
            </w:tcBorders>
            <w:vAlign w:val="center"/>
          </w:tcPr>
          <w:p>
            <w:pPr>
              <w:numPr>
                <w:ilvl w:val="0"/>
                <w:numId w:val="6"/>
              </w:numPr>
              <w:spacing w:line="400" w:lineRule="exact"/>
              <w:jc w:val="center"/>
              <w:rPr>
                <w:rFonts w:ascii="宋体" w:hAnsi="宋体"/>
                <w:kern w:val="0"/>
                <w:szCs w:val="21"/>
              </w:rPr>
            </w:pPr>
          </w:p>
        </w:tc>
        <w:tc>
          <w:tcPr>
            <w:tcW w:w="1780" w:type="dxa"/>
            <w:gridSpan w:val="2"/>
            <w:tcBorders>
              <w:left w:val="single" w:color="auto" w:sz="4" w:space="0"/>
              <w:right w:val="single" w:color="auto" w:sz="4" w:space="0"/>
            </w:tcBorders>
            <w:vAlign w:val="center"/>
          </w:tcPr>
          <w:p>
            <w:pPr>
              <w:spacing w:line="400" w:lineRule="exact"/>
              <w:jc w:val="center"/>
              <w:rPr>
                <w:rFonts w:ascii="宋体" w:hAnsi="宋体"/>
                <w:kern w:val="0"/>
                <w:szCs w:val="21"/>
              </w:rPr>
            </w:pPr>
            <w:r>
              <w:rPr>
                <w:rFonts w:hint="eastAsia" w:ascii="宋体" w:hAnsi="宋体"/>
                <w:kern w:val="0"/>
                <w:szCs w:val="21"/>
              </w:rPr>
              <w:t>资金来源</w:t>
            </w:r>
          </w:p>
        </w:tc>
        <w:tc>
          <w:tcPr>
            <w:tcW w:w="6557" w:type="dxa"/>
            <w:tcBorders>
              <w:left w:val="single" w:color="auto" w:sz="4" w:space="0"/>
              <w:right w:val="single" w:color="auto" w:sz="4" w:space="0"/>
            </w:tcBorders>
            <w:vAlign w:val="center"/>
          </w:tcPr>
          <w:p>
            <w:pPr>
              <w:spacing w:line="400" w:lineRule="exact"/>
              <w:rPr>
                <w:rFonts w:ascii="宋体" w:hAnsi="宋体"/>
                <w:color w:val="FF0000"/>
                <w:kern w:val="0"/>
                <w:szCs w:val="21"/>
              </w:rPr>
            </w:pPr>
            <w:r>
              <w:rPr>
                <w:rFonts w:hint="eastAsia" w:ascii="宋体" w:hAnsi="宋体"/>
                <w:szCs w:val="21"/>
              </w:rPr>
              <w:t>财政资金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43" w:type="dxa"/>
            <w:tcBorders>
              <w:top w:val="single" w:color="auto" w:sz="4" w:space="0"/>
              <w:left w:val="single" w:color="auto" w:sz="4" w:space="0"/>
              <w:bottom w:val="single" w:color="auto" w:sz="4" w:space="0"/>
              <w:right w:val="single" w:color="auto" w:sz="4" w:space="0"/>
            </w:tcBorders>
            <w:vAlign w:val="center"/>
          </w:tcPr>
          <w:p>
            <w:pPr>
              <w:numPr>
                <w:ilvl w:val="0"/>
                <w:numId w:val="6"/>
              </w:numPr>
              <w:spacing w:line="400" w:lineRule="exact"/>
              <w:jc w:val="center"/>
              <w:rPr>
                <w:rFonts w:ascii="宋体" w:hAnsi="宋体"/>
                <w:kern w:val="0"/>
                <w:szCs w:val="21"/>
              </w:rPr>
            </w:pPr>
          </w:p>
        </w:tc>
        <w:tc>
          <w:tcPr>
            <w:tcW w:w="1780" w:type="dxa"/>
            <w:gridSpan w:val="2"/>
            <w:tcBorders>
              <w:left w:val="single" w:color="auto" w:sz="4" w:space="0"/>
              <w:right w:val="single" w:color="auto" w:sz="4" w:space="0"/>
            </w:tcBorders>
            <w:vAlign w:val="center"/>
          </w:tcPr>
          <w:p>
            <w:pPr>
              <w:autoSpaceDE w:val="0"/>
              <w:autoSpaceDN w:val="0"/>
              <w:adjustRightInd w:val="0"/>
              <w:jc w:val="center"/>
              <w:rPr>
                <w:rFonts w:ascii="宋体" w:hAnsi="宋体"/>
                <w:kern w:val="0"/>
                <w:szCs w:val="21"/>
              </w:rPr>
            </w:pPr>
            <w:r>
              <w:rPr>
                <w:rFonts w:hint="eastAsia" w:ascii="宋体" w:hAnsi="宋体"/>
                <w:kern w:val="0"/>
                <w:szCs w:val="21"/>
              </w:rPr>
              <w:t>资金落实情况</w:t>
            </w:r>
          </w:p>
        </w:tc>
        <w:tc>
          <w:tcPr>
            <w:tcW w:w="6557" w:type="dxa"/>
            <w:tcBorders>
              <w:left w:val="single" w:color="auto" w:sz="4" w:space="0"/>
              <w:right w:val="single" w:color="auto" w:sz="4" w:space="0"/>
            </w:tcBorders>
            <w:vAlign w:val="center"/>
          </w:tcPr>
          <w:p>
            <w:pPr>
              <w:autoSpaceDE w:val="0"/>
              <w:autoSpaceDN w:val="0"/>
              <w:adjustRightInd w:val="0"/>
              <w:rPr>
                <w:rFonts w:ascii="宋体" w:hAnsi="宋体"/>
                <w:szCs w:val="21"/>
                <w:highlight w:val="yellow"/>
              </w:rPr>
            </w:pPr>
            <w:r>
              <w:rPr>
                <w:rFonts w:hint="eastAsia" w:ascii="宋体" w:hAnsi="宋体"/>
                <w:kern w:val="0"/>
                <w:szCs w:val="21"/>
              </w:rPr>
              <w:t xml:space="preserve">已落实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7" w:hRule="exact"/>
          <w:jc w:val="center"/>
        </w:trPr>
        <w:tc>
          <w:tcPr>
            <w:tcW w:w="843" w:type="dxa"/>
            <w:tcBorders>
              <w:top w:val="single" w:color="auto" w:sz="4" w:space="0"/>
              <w:left w:val="single" w:color="auto" w:sz="4" w:space="0"/>
              <w:bottom w:val="single" w:color="auto" w:sz="4" w:space="0"/>
              <w:right w:val="single" w:color="auto" w:sz="4" w:space="0"/>
            </w:tcBorders>
            <w:vAlign w:val="center"/>
          </w:tcPr>
          <w:p>
            <w:pPr>
              <w:numPr>
                <w:ilvl w:val="0"/>
                <w:numId w:val="6"/>
              </w:numPr>
              <w:spacing w:line="400" w:lineRule="exact"/>
              <w:jc w:val="center"/>
              <w:rPr>
                <w:rFonts w:ascii="宋体" w:hAnsi="宋体"/>
                <w:kern w:val="0"/>
                <w:szCs w:val="21"/>
              </w:rPr>
            </w:pPr>
          </w:p>
        </w:tc>
        <w:tc>
          <w:tcPr>
            <w:tcW w:w="1780" w:type="dxa"/>
            <w:gridSpan w:val="2"/>
            <w:tcBorders>
              <w:left w:val="single" w:color="auto" w:sz="4" w:space="0"/>
              <w:right w:val="single" w:color="auto" w:sz="4" w:space="0"/>
            </w:tcBorders>
            <w:vAlign w:val="center"/>
          </w:tcPr>
          <w:p>
            <w:pPr>
              <w:spacing w:line="440" w:lineRule="exact"/>
              <w:jc w:val="center"/>
              <w:rPr>
                <w:rFonts w:ascii="宋体" w:hAnsi="宋体"/>
                <w:kern w:val="0"/>
                <w:szCs w:val="21"/>
              </w:rPr>
            </w:pPr>
            <w:r>
              <w:rPr>
                <w:rFonts w:hint="eastAsia" w:ascii="宋体" w:hAnsi="宋体"/>
                <w:szCs w:val="21"/>
              </w:rPr>
              <w:t>报价范围</w:t>
            </w:r>
          </w:p>
        </w:tc>
        <w:tc>
          <w:tcPr>
            <w:tcW w:w="6557" w:type="dxa"/>
            <w:tcBorders>
              <w:left w:val="single" w:color="auto" w:sz="4" w:space="0"/>
              <w:right w:val="single" w:color="auto" w:sz="4" w:space="0"/>
            </w:tcBorders>
            <w:vAlign w:val="center"/>
          </w:tcPr>
          <w:p>
            <w:pPr>
              <w:spacing w:line="440" w:lineRule="exact"/>
              <w:rPr>
                <w:rFonts w:ascii="宋体" w:hAnsi="宋体"/>
                <w:szCs w:val="21"/>
              </w:rPr>
            </w:pPr>
            <w:r>
              <w:rPr>
                <w:rFonts w:hint="eastAsia" w:ascii="宋体" w:hAnsi="宋体"/>
                <w:szCs w:val="21"/>
              </w:rPr>
              <w:t>投标总价中须包括提供达到招标文件要求的所有货物、服务的相关费用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43" w:type="dxa"/>
            <w:tcBorders>
              <w:top w:val="single" w:color="auto" w:sz="4" w:space="0"/>
              <w:left w:val="single" w:color="auto" w:sz="4" w:space="0"/>
              <w:bottom w:val="single" w:color="auto" w:sz="4" w:space="0"/>
              <w:right w:val="single" w:color="auto" w:sz="4" w:space="0"/>
            </w:tcBorders>
            <w:vAlign w:val="center"/>
          </w:tcPr>
          <w:p>
            <w:pPr>
              <w:numPr>
                <w:ilvl w:val="0"/>
                <w:numId w:val="6"/>
              </w:numPr>
              <w:spacing w:line="400" w:lineRule="exact"/>
              <w:jc w:val="center"/>
              <w:rPr>
                <w:rFonts w:ascii="宋体" w:hAnsi="宋体"/>
                <w:kern w:val="0"/>
                <w:szCs w:val="21"/>
              </w:rPr>
            </w:pPr>
          </w:p>
        </w:tc>
        <w:tc>
          <w:tcPr>
            <w:tcW w:w="1780" w:type="dxa"/>
            <w:gridSpan w:val="2"/>
            <w:tcBorders>
              <w:left w:val="single" w:color="auto" w:sz="4" w:space="0"/>
              <w:right w:val="single" w:color="auto" w:sz="4" w:space="0"/>
            </w:tcBorders>
            <w:vAlign w:val="center"/>
          </w:tcPr>
          <w:p>
            <w:pPr>
              <w:spacing w:line="400" w:lineRule="exact"/>
              <w:jc w:val="center"/>
              <w:rPr>
                <w:rFonts w:ascii="宋体" w:hAnsi="宋体"/>
                <w:kern w:val="0"/>
                <w:szCs w:val="21"/>
              </w:rPr>
            </w:pPr>
            <w:r>
              <w:rPr>
                <w:rFonts w:hint="eastAsia" w:ascii="宋体" w:hAnsi="宋体"/>
                <w:kern w:val="0"/>
                <w:szCs w:val="21"/>
              </w:rPr>
              <w:t>投标有效期</w:t>
            </w:r>
          </w:p>
        </w:tc>
        <w:tc>
          <w:tcPr>
            <w:tcW w:w="6557" w:type="dxa"/>
            <w:tcBorders>
              <w:left w:val="single" w:color="auto" w:sz="4" w:space="0"/>
              <w:right w:val="single" w:color="auto" w:sz="4" w:space="0"/>
            </w:tcBorders>
            <w:vAlign w:val="center"/>
          </w:tcPr>
          <w:p>
            <w:pPr>
              <w:spacing w:line="400" w:lineRule="exact"/>
              <w:rPr>
                <w:rFonts w:ascii="宋体" w:hAnsi="宋体"/>
                <w:szCs w:val="21"/>
              </w:rPr>
            </w:pPr>
            <w:r>
              <w:rPr>
                <w:rFonts w:hint="eastAsia" w:ascii="宋体" w:hAnsi="宋体"/>
                <w:szCs w:val="21"/>
              </w:rPr>
              <w:t xml:space="preserve">60日历天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exact"/>
          <w:jc w:val="center"/>
        </w:trPr>
        <w:tc>
          <w:tcPr>
            <w:tcW w:w="843" w:type="dxa"/>
            <w:tcBorders>
              <w:top w:val="single" w:color="auto" w:sz="4" w:space="0"/>
              <w:left w:val="single" w:color="auto" w:sz="4" w:space="0"/>
              <w:bottom w:val="single" w:color="auto" w:sz="4" w:space="0"/>
              <w:right w:val="single" w:color="auto" w:sz="4" w:space="0"/>
            </w:tcBorders>
            <w:vAlign w:val="center"/>
          </w:tcPr>
          <w:p>
            <w:pPr>
              <w:numPr>
                <w:ilvl w:val="0"/>
                <w:numId w:val="6"/>
              </w:numPr>
              <w:spacing w:line="400" w:lineRule="exact"/>
              <w:jc w:val="center"/>
              <w:rPr>
                <w:rFonts w:ascii="宋体" w:hAnsi="宋体"/>
                <w:kern w:val="0"/>
                <w:szCs w:val="21"/>
              </w:rPr>
            </w:pPr>
          </w:p>
        </w:tc>
        <w:tc>
          <w:tcPr>
            <w:tcW w:w="1780" w:type="dxa"/>
            <w:gridSpan w:val="2"/>
            <w:tcBorders>
              <w:left w:val="single" w:color="auto" w:sz="4" w:space="0"/>
              <w:right w:val="single" w:color="auto" w:sz="4" w:space="0"/>
            </w:tcBorders>
            <w:vAlign w:val="center"/>
          </w:tcPr>
          <w:p>
            <w:pPr>
              <w:spacing w:line="400" w:lineRule="exact"/>
              <w:jc w:val="center"/>
              <w:rPr>
                <w:rFonts w:ascii="宋体" w:hAnsi="宋体"/>
                <w:kern w:val="0"/>
                <w:szCs w:val="21"/>
              </w:rPr>
            </w:pPr>
            <w:r>
              <w:rPr>
                <w:rFonts w:hint="eastAsia" w:ascii="宋体" w:hAnsi="宋体"/>
                <w:kern w:val="0"/>
                <w:szCs w:val="21"/>
              </w:rPr>
              <w:t>现场考察</w:t>
            </w:r>
          </w:p>
        </w:tc>
        <w:tc>
          <w:tcPr>
            <w:tcW w:w="6557" w:type="dxa"/>
            <w:tcBorders>
              <w:left w:val="single" w:color="auto" w:sz="4" w:space="0"/>
              <w:right w:val="single" w:color="auto" w:sz="4" w:space="0"/>
            </w:tcBorders>
            <w:vAlign w:val="center"/>
          </w:tcPr>
          <w:p>
            <w:pPr>
              <w:pStyle w:val="11"/>
              <w:topLinePunct/>
              <w:spacing w:line="400" w:lineRule="exact"/>
              <w:rPr>
                <w:rFonts w:hAnsi="宋体"/>
                <w:sz w:val="21"/>
                <w:szCs w:val="21"/>
              </w:rPr>
            </w:pPr>
            <w:r>
              <w:rPr>
                <w:rFonts w:hint="eastAsia" w:hAnsi="宋体"/>
                <w:sz w:val="21"/>
                <w:szCs w:val="21"/>
              </w:rPr>
              <w:sym w:font="Wingdings" w:char="F0FE"/>
            </w:r>
            <w:r>
              <w:rPr>
                <w:rFonts w:hint="eastAsia" w:hAnsi="宋体"/>
                <w:sz w:val="21"/>
                <w:szCs w:val="21"/>
              </w:rPr>
              <w:t>不组织，各投标人自行考察</w:t>
            </w:r>
          </w:p>
          <w:p>
            <w:pPr>
              <w:spacing w:line="400" w:lineRule="exact"/>
              <w:rPr>
                <w:rFonts w:ascii="宋体" w:hAnsi="宋体"/>
                <w:szCs w:val="21"/>
                <w:highlight w:val="yellow"/>
              </w:rPr>
            </w:pPr>
            <w:r>
              <w:rPr>
                <w:rFonts w:hint="eastAsia" w:ascii="宋体" w:hAnsi="宋体"/>
                <w:szCs w:val="21"/>
              </w:rPr>
              <w:t>□组织，考察时间：　　　考察集中地点：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843" w:type="dxa"/>
            <w:tcBorders>
              <w:top w:val="single" w:color="auto" w:sz="4" w:space="0"/>
              <w:left w:val="single" w:color="auto" w:sz="4" w:space="0"/>
              <w:bottom w:val="single" w:color="auto" w:sz="4" w:space="0"/>
              <w:right w:val="single" w:color="auto" w:sz="4" w:space="0"/>
            </w:tcBorders>
            <w:vAlign w:val="center"/>
          </w:tcPr>
          <w:p>
            <w:pPr>
              <w:numPr>
                <w:ilvl w:val="0"/>
                <w:numId w:val="6"/>
              </w:numPr>
              <w:spacing w:line="400" w:lineRule="exact"/>
              <w:jc w:val="center"/>
              <w:rPr>
                <w:rFonts w:ascii="宋体" w:hAnsi="宋体"/>
                <w:kern w:val="0"/>
                <w:szCs w:val="21"/>
              </w:rPr>
            </w:pPr>
          </w:p>
        </w:tc>
        <w:tc>
          <w:tcPr>
            <w:tcW w:w="1780" w:type="dxa"/>
            <w:gridSpan w:val="2"/>
            <w:tcBorders>
              <w:left w:val="single" w:color="auto" w:sz="4" w:space="0"/>
              <w:right w:val="single" w:color="auto" w:sz="4" w:space="0"/>
            </w:tcBorders>
            <w:vAlign w:val="center"/>
          </w:tcPr>
          <w:p>
            <w:pPr>
              <w:spacing w:line="400" w:lineRule="exact"/>
              <w:jc w:val="center"/>
              <w:rPr>
                <w:rFonts w:ascii="宋体" w:hAnsi="宋体"/>
                <w:color w:val="008000"/>
                <w:kern w:val="0"/>
                <w:szCs w:val="21"/>
              </w:rPr>
            </w:pPr>
            <w:r>
              <w:rPr>
                <w:rFonts w:hint="eastAsia" w:ascii="宋体" w:hAnsi="宋体"/>
                <w:szCs w:val="21"/>
              </w:rPr>
              <w:t>投标保证金</w:t>
            </w:r>
          </w:p>
        </w:tc>
        <w:tc>
          <w:tcPr>
            <w:tcW w:w="6557" w:type="dxa"/>
            <w:tcBorders>
              <w:left w:val="single" w:color="auto" w:sz="4" w:space="0"/>
              <w:right w:val="single" w:color="auto" w:sz="4" w:space="0"/>
            </w:tcBorders>
            <w:vAlign w:val="center"/>
          </w:tcPr>
          <w:p>
            <w:pPr>
              <w:spacing w:line="440" w:lineRule="exact"/>
              <w:ind w:firstLine="480" w:firstLineChars="200"/>
              <w:rPr>
                <w:rFonts w:ascii="宋体" w:hAnsi="宋体"/>
                <w:szCs w:val="21"/>
              </w:rPr>
            </w:pPr>
            <w:r>
              <w:rPr>
                <w:rFonts w:hint="eastAsia" w:ascii="宋体" w:hAnsi="宋体"/>
                <w:szCs w:val="21"/>
              </w:rPr>
              <w:t>1.投标保证金：64000</w:t>
            </w:r>
            <w:r>
              <w:rPr>
                <w:rFonts w:hint="eastAsia" w:ascii="宋体" w:hAnsi="宋体"/>
                <w:b/>
                <w:bCs/>
                <w:kern w:val="0"/>
                <w:szCs w:val="21"/>
              </w:rPr>
              <w:t>元（暂不缴纳）</w:t>
            </w:r>
          </w:p>
          <w:p>
            <w:pPr>
              <w:spacing w:line="440" w:lineRule="exact"/>
              <w:rPr>
                <w:rFonts w:ascii="宋体" w:hAnsi="宋体"/>
                <w:szCs w:val="21"/>
              </w:rPr>
            </w:pPr>
            <w:r>
              <w:rPr>
                <w:rFonts w:hint="eastAsia" w:ascii="宋体" w:hAnsi="宋体"/>
                <w:szCs w:val="21"/>
              </w:rPr>
              <w:t xml:space="preserve">    2.投标人有下列情形之一的，采购人将追索投标保证金人民币64000</w:t>
            </w:r>
            <w:r>
              <w:rPr>
                <w:rFonts w:hint="eastAsia" w:ascii="宋体" w:hAnsi="宋体"/>
                <w:b/>
                <w:bCs/>
                <w:kern w:val="0"/>
                <w:szCs w:val="21"/>
              </w:rPr>
              <w:t>元，并予以没收</w:t>
            </w:r>
            <w:r>
              <w:rPr>
                <w:rFonts w:hint="eastAsia" w:ascii="宋体" w:hAnsi="宋体"/>
                <w:szCs w:val="21"/>
              </w:rPr>
              <w:t>，投标人应作出相应承诺（承诺书格式见投标文件商务技术证明文件中）：</w:t>
            </w:r>
          </w:p>
          <w:p>
            <w:pPr>
              <w:spacing w:line="440" w:lineRule="exact"/>
              <w:rPr>
                <w:rFonts w:ascii="宋体" w:hAnsi="宋体"/>
                <w:szCs w:val="21"/>
              </w:rPr>
            </w:pPr>
            <w:r>
              <w:rPr>
                <w:rFonts w:hint="eastAsia" w:ascii="宋体" w:hAnsi="宋体"/>
                <w:szCs w:val="21"/>
              </w:rPr>
              <w:t>（1）投标人在投标截止时间后或投标有效期内撤回投标文件的；</w:t>
            </w:r>
          </w:p>
          <w:p>
            <w:pPr>
              <w:spacing w:line="440" w:lineRule="exact"/>
              <w:rPr>
                <w:rFonts w:ascii="宋体" w:hAnsi="宋体"/>
                <w:szCs w:val="21"/>
              </w:rPr>
            </w:pPr>
            <w:r>
              <w:rPr>
                <w:rFonts w:hint="eastAsia" w:ascii="宋体" w:hAnsi="宋体"/>
                <w:szCs w:val="21"/>
              </w:rPr>
              <w:t>（2）投标人在投标文件中提供虚假材料的；</w:t>
            </w:r>
          </w:p>
          <w:p>
            <w:pPr>
              <w:spacing w:line="440" w:lineRule="exact"/>
              <w:rPr>
                <w:rFonts w:ascii="宋体" w:hAnsi="宋体"/>
                <w:szCs w:val="21"/>
              </w:rPr>
            </w:pPr>
            <w:r>
              <w:rPr>
                <w:rFonts w:hint="eastAsia" w:ascii="宋体" w:hAnsi="宋体"/>
                <w:szCs w:val="21"/>
              </w:rPr>
              <w:t>（3）除因不可抗力或招标文件认可的情形以外，中标人不与采购人签订合同的；</w:t>
            </w:r>
          </w:p>
          <w:p>
            <w:pPr>
              <w:spacing w:line="440" w:lineRule="exact"/>
              <w:rPr>
                <w:rFonts w:ascii="宋体" w:hAnsi="宋体"/>
                <w:szCs w:val="21"/>
              </w:rPr>
            </w:pPr>
            <w:r>
              <w:rPr>
                <w:rFonts w:hint="eastAsia" w:ascii="宋体" w:hAnsi="宋体"/>
                <w:szCs w:val="21"/>
              </w:rPr>
              <w:t>（4）投标人与采购人、其他投标人或者采购代理机构恶意串通的。</w:t>
            </w:r>
          </w:p>
          <w:p>
            <w:pPr>
              <w:spacing w:line="400" w:lineRule="exact"/>
              <w:ind w:firstLine="480" w:firstLineChars="200"/>
              <w:rPr>
                <w:rFonts w:ascii="宋体" w:hAnsi="宋体"/>
                <w:color w:val="008000"/>
                <w:kern w:val="0"/>
                <w:szCs w:val="21"/>
              </w:rPr>
            </w:pPr>
            <w:r>
              <w:rPr>
                <w:rFonts w:hint="eastAsia" w:ascii="宋体" w:hAnsi="宋体"/>
                <w:szCs w:val="21"/>
              </w:rPr>
              <w:t>3.投标人违反上述规定且拒不支付投标保证金的，采购人可向武陟县人民法院起诉追索投标保证金。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843" w:type="dxa"/>
            <w:tcBorders>
              <w:top w:val="single" w:color="auto" w:sz="4" w:space="0"/>
              <w:left w:val="single" w:color="auto" w:sz="4" w:space="0"/>
              <w:bottom w:val="single" w:color="auto" w:sz="4" w:space="0"/>
              <w:right w:val="single" w:color="auto" w:sz="4" w:space="0"/>
            </w:tcBorders>
            <w:vAlign w:val="center"/>
          </w:tcPr>
          <w:p>
            <w:pPr>
              <w:numPr>
                <w:ilvl w:val="0"/>
                <w:numId w:val="6"/>
              </w:numPr>
              <w:spacing w:line="400" w:lineRule="exact"/>
              <w:jc w:val="center"/>
              <w:rPr>
                <w:rFonts w:ascii="宋体" w:hAnsi="宋体"/>
                <w:kern w:val="0"/>
                <w:szCs w:val="21"/>
              </w:rPr>
            </w:pPr>
          </w:p>
        </w:tc>
        <w:tc>
          <w:tcPr>
            <w:tcW w:w="1780" w:type="dxa"/>
            <w:gridSpan w:val="2"/>
            <w:tcBorders>
              <w:left w:val="single" w:color="auto" w:sz="4" w:space="0"/>
              <w:right w:val="single" w:color="auto" w:sz="4" w:space="0"/>
            </w:tcBorders>
            <w:vAlign w:val="center"/>
          </w:tcPr>
          <w:p>
            <w:pPr>
              <w:spacing w:line="400" w:lineRule="exact"/>
              <w:rPr>
                <w:rFonts w:ascii="宋体" w:hAnsi="宋体"/>
                <w:szCs w:val="21"/>
              </w:rPr>
            </w:pPr>
            <w:r>
              <w:rPr>
                <w:rFonts w:hint="eastAsia" w:ascii="宋体" w:hAnsi="宋体"/>
                <w:szCs w:val="21"/>
              </w:rPr>
              <w:t>投标文件的份数</w:t>
            </w:r>
          </w:p>
        </w:tc>
        <w:tc>
          <w:tcPr>
            <w:tcW w:w="6557" w:type="dxa"/>
            <w:tcBorders>
              <w:left w:val="single" w:color="auto" w:sz="4" w:space="0"/>
              <w:right w:val="single" w:color="auto" w:sz="4" w:space="0"/>
            </w:tcBorders>
            <w:vAlign w:val="center"/>
          </w:tcPr>
          <w:p>
            <w:pPr>
              <w:spacing w:line="400" w:lineRule="exact"/>
              <w:rPr>
                <w:rFonts w:ascii="宋体" w:hAnsi="宋体"/>
                <w:szCs w:val="21"/>
              </w:rPr>
            </w:pPr>
            <w:r>
              <w:rPr>
                <w:rFonts w:hint="eastAsia" w:ascii="宋体" w:hAnsi="宋体"/>
                <w:szCs w:val="21"/>
              </w:rPr>
              <w:t>投标文件资格证明文件：（正本1 份，副本5份）</w:t>
            </w:r>
          </w:p>
          <w:p>
            <w:pPr>
              <w:spacing w:line="400" w:lineRule="exact"/>
              <w:rPr>
                <w:rFonts w:ascii="宋体" w:hAnsi="宋体"/>
                <w:szCs w:val="21"/>
              </w:rPr>
            </w:pPr>
            <w:r>
              <w:rPr>
                <w:rFonts w:hint="eastAsia" w:ascii="宋体" w:hAnsi="宋体"/>
                <w:szCs w:val="21"/>
              </w:rPr>
              <w:t>投标文件商务、技术证明文件：（正本1 份，副本5份）</w:t>
            </w:r>
          </w:p>
          <w:p>
            <w:pPr>
              <w:spacing w:line="400" w:lineRule="exact"/>
              <w:rPr>
                <w:rFonts w:ascii="宋体" w:hAnsi="宋体"/>
              </w:rPr>
            </w:pPr>
            <w:r>
              <w:rPr>
                <w:rFonts w:hint="eastAsia" w:ascii="宋体" w:hAnsi="宋体"/>
                <w:szCs w:val="21"/>
              </w:rPr>
              <w:t>电子版一份（投标文件电子文档应为PDF格式或WORD格式文件，并应是包括投标文件正本所有内容的清晰扫描件，用U盘存储，评审时以纸质版为准），电子版密封在一个密封袋内，此密封袋单独密封。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5" w:hRule="atLeast"/>
          <w:jc w:val="center"/>
        </w:trPr>
        <w:tc>
          <w:tcPr>
            <w:tcW w:w="843" w:type="dxa"/>
            <w:tcBorders>
              <w:top w:val="single" w:color="auto" w:sz="4" w:space="0"/>
              <w:left w:val="single" w:color="auto" w:sz="4" w:space="0"/>
              <w:bottom w:val="single" w:color="auto" w:sz="4" w:space="0"/>
              <w:right w:val="single" w:color="auto" w:sz="4" w:space="0"/>
            </w:tcBorders>
            <w:vAlign w:val="center"/>
          </w:tcPr>
          <w:p>
            <w:pPr>
              <w:numPr>
                <w:ilvl w:val="0"/>
                <w:numId w:val="6"/>
              </w:numPr>
              <w:spacing w:line="400" w:lineRule="exact"/>
              <w:jc w:val="center"/>
              <w:rPr>
                <w:rFonts w:ascii="宋体" w:hAnsi="宋体"/>
                <w:kern w:val="0"/>
                <w:szCs w:val="21"/>
              </w:rPr>
            </w:pPr>
          </w:p>
        </w:tc>
        <w:tc>
          <w:tcPr>
            <w:tcW w:w="1780" w:type="dxa"/>
            <w:gridSpan w:val="2"/>
            <w:tcBorders>
              <w:left w:val="single" w:color="auto" w:sz="4" w:space="0"/>
              <w:right w:val="single" w:color="auto" w:sz="4" w:space="0"/>
            </w:tcBorders>
            <w:vAlign w:val="center"/>
          </w:tcPr>
          <w:p>
            <w:pPr>
              <w:spacing w:line="360" w:lineRule="auto"/>
              <w:jc w:val="center"/>
              <w:rPr>
                <w:rFonts w:ascii="宋体" w:hAnsi="宋体"/>
                <w:szCs w:val="21"/>
              </w:rPr>
            </w:pPr>
            <w:r>
              <w:rPr>
                <w:rFonts w:hint="eastAsia" w:ascii="宋体" w:hAnsi="宋体"/>
              </w:rPr>
              <w:t>装订要求</w:t>
            </w:r>
          </w:p>
        </w:tc>
        <w:tc>
          <w:tcPr>
            <w:tcW w:w="6557" w:type="dxa"/>
            <w:tcBorders>
              <w:left w:val="single" w:color="auto" w:sz="4" w:space="0"/>
              <w:right w:val="single" w:color="auto" w:sz="4" w:space="0"/>
            </w:tcBorders>
            <w:vAlign w:val="center"/>
          </w:tcPr>
          <w:p>
            <w:pPr>
              <w:spacing w:line="400" w:lineRule="exact"/>
              <w:ind w:firstLine="480" w:firstLineChars="200"/>
              <w:rPr>
                <w:rFonts w:ascii="宋体" w:hAnsi="宋体"/>
                <w:szCs w:val="21"/>
              </w:rPr>
            </w:pPr>
            <w:r>
              <w:rPr>
                <w:rFonts w:hint="eastAsia" w:ascii="宋体" w:hAnsi="宋体"/>
                <w:szCs w:val="21"/>
              </w:rPr>
              <w:t>投标文件资格证明文件和投标文件商务、技术证明文件正、副本分别胶装，装订应牢固、不易拆散，不接受任何形式活页装订，未按要求装订的按无效投标处理。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843" w:type="dxa"/>
            <w:tcBorders>
              <w:top w:val="single" w:color="auto" w:sz="4" w:space="0"/>
              <w:left w:val="single" w:color="auto" w:sz="4" w:space="0"/>
              <w:bottom w:val="single" w:color="auto" w:sz="4" w:space="0"/>
              <w:right w:val="single" w:color="auto" w:sz="4" w:space="0"/>
            </w:tcBorders>
            <w:vAlign w:val="center"/>
          </w:tcPr>
          <w:p>
            <w:pPr>
              <w:numPr>
                <w:ilvl w:val="0"/>
                <w:numId w:val="6"/>
              </w:numPr>
              <w:spacing w:line="400" w:lineRule="exact"/>
              <w:jc w:val="center"/>
              <w:rPr>
                <w:rFonts w:ascii="宋体" w:hAnsi="宋体"/>
                <w:kern w:val="0"/>
                <w:szCs w:val="21"/>
              </w:rPr>
            </w:pPr>
          </w:p>
        </w:tc>
        <w:tc>
          <w:tcPr>
            <w:tcW w:w="1780" w:type="dxa"/>
            <w:gridSpan w:val="2"/>
            <w:tcBorders>
              <w:left w:val="single" w:color="auto" w:sz="4" w:space="0"/>
              <w:right w:val="single" w:color="auto" w:sz="4" w:space="0"/>
            </w:tcBorders>
            <w:vAlign w:val="center"/>
          </w:tcPr>
          <w:p>
            <w:pPr>
              <w:spacing w:line="360" w:lineRule="auto"/>
              <w:jc w:val="center"/>
              <w:rPr>
                <w:rFonts w:ascii="宋体" w:hAnsi="宋体"/>
                <w:szCs w:val="21"/>
              </w:rPr>
            </w:pPr>
            <w:r>
              <w:rPr>
                <w:rFonts w:hint="eastAsia" w:ascii="宋体" w:hAnsi="宋体"/>
                <w:szCs w:val="21"/>
              </w:rPr>
              <w:t>投标文件的密封</w:t>
            </w:r>
          </w:p>
        </w:tc>
        <w:tc>
          <w:tcPr>
            <w:tcW w:w="6557" w:type="dxa"/>
            <w:tcBorders>
              <w:left w:val="single" w:color="auto" w:sz="4" w:space="0"/>
              <w:right w:val="single" w:color="auto" w:sz="4" w:space="0"/>
            </w:tcBorders>
            <w:vAlign w:val="center"/>
          </w:tcPr>
          <w:p>
            <w:pPr>
              <w:spacing w:line="400" w:lineRule="exact"/>
              <w:ind w:firstLine="480" w:firstLineChars="200"/>
              <w:rPr>
                <w:rFonts w:ascii="宋体" w:hAnsi="宋体"/>
                <w:szCs w:val="21"/>
              </w:rPr>
            </w:pPr>
            <w:r>
              <w:rPr>
                <w:rFonts w:hint="eastAsia" w:ascii="宋体" w:hAnsi="宋体"/>
                <w:szCs w:val="21"/>
              </w:rPr>
              <w:t>投标文件资格证明文件正本和所有副本密封在密封袋（箱）中，并在封套的封口处加盖投标人公章。</w:t>
            </w:r>
          </w:p>
          <w:p>
            <w:pPr>
              <w:spacing w:line="400" w:lineRule="exact"/>
              <w:ind w:firstLine="480" w:firstLineChars="200"/>
              <w:rPr>
                <w:rFonts w:ascii="宋体" w:hAnsi="宋体"/>
                <w:szCs w:val="21"/>
              </w:rPr>
            </w:pPr>
            <w:r>
              <w:rPr>
                <w:rFonts w:hint="eastAsia" w:ascii="宋体" w:hAnsi="宋体"/>
                <w:szCs w:val="21"/>
              </w:rPr>
              <w:t>投标文件商务、技术证明文件正本和所有副本密封在密封袋（箱）中，并在封套的封口处加盖投标人公章。</w:t>
            </w:r>
          </w:p>
          <w:p>
            <w:pPr>
              <w:spacing w:line="400" w:lineRule="exact"/>
              <w:ind w:firstLine="480" w:firstLineChars="200"/>
              <w:rPr>
                <w:rFonts w:ascii="宋体" w:hAnsi="宋体"/>
                <w:bCs/>
                <w:szCs w:val="21"/>
              </w:rPr>
            </w:pPr>
            <w:r>
              <w:rPr>
                <w:rFonts w:hint="eastAsia" w:ascii="宋体" w:hAnsi="宋体"/>
                <w:bCs/>
                <w:szCs w:val="21"/>
              </w:rPr>
              <w:t>投标文件由资格证明文件和商务、技术证明文件两部分组成。</w:t>
            </w:r>
          </w:p>
          <w:p>
            <w:pPr>
              <w:spacing w:line="400" w:lineRule="exact"/>
              <w:ind w:firstLine="482" w:firstLineChars="200"/>
              <w:rPr>
                <w:rFonts w:ascii="宋体" w:hAnsi="宋体"/>
                <w:szCs w:val="21"/>
              </w:rPr>
            </w:pPr>
            <w:r>
              <w:rPr>
                <w:rFonts w:hint="eastAsia" w:ascii="宋体" w:hAnsi="宋体"/>
                <w:b/>
                <w:kern w:val="0"/>
                <w:szCs w:val="21"/>
              </w:rPr>
              <w:t>注：未按上述要求密封的，采购人有权拒收投标人的投标文件。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43" w:type="dxa"/>
            <w:tcBorders>
              <w:top w:val="single" w:color="auto" w:sz="4" w:space="0"/>
              <w:left w:val="single" w:color="auto" w:sz="4" w:space="0"/>
              <w:bottom w:val="single" w:color="auto" w:sz="4" w:space="0"/>
              <w:right w:val="single" w:color="auto" w:sz="4" w:space="0"/>
            </w:tcBorders>
            <w:vAlign w:val="center"/>
          </w:tcPr>
          <w:p>
            <w:pPr>
              <w:numPr>
                <w:ilvl w:val="0"/>
                <w:numId w:val="6"/>
              </w:numPr>
              <w:spacing w:line="400" w:lineRule="exact"/>
              <w:jc w:val="center"/>
              <w:rPr>
                <w:rFonts w:ascii="宋体" w:hAnsi="宋体"/>
                <w:kern w:val="0"/>
                <w:szCs w:val="21"/>
              </w:rPr>
            </w:pPr>
          </w:p>
        </w:tc>
        <w:tc>
          <w:tcPr>
            <w:tcW w:w="1780" w:type="dxa"/>
            <w:gridSpan w:val="2"/>
            <w:tcBorders>
              <w:left w:val="single" w:color="auto" w:sz="4" w:space="0"/>
              <w:right w:val="single" w:color="auto" w:sz="4" w:space="0"/>
            </w:tcBorders>
            <w:vAlign w:val="center"/>
          </w:tcPr>
          <w:p>
            <w:pPr>
              <w:spacing w:line="440" w:lineRule="exact"/>
              <w:jc w:val="center"/>
              <w:rPr>
                <w:rFonts w:ascii="宋体" w:hAnsi="宋体"/>
                <w:szCs w:val="21"/>
              </w:rPr>
            </w:pPr>
            <w:r>
              <w:rPr>
                <w:rFonts w:hint="eastAsia" w:ascii="宋体" w:hAnsi="宋体"/>
                <w:szCs w:val="21"/>
              </w:rPr>
              <w:t>包装袋的标记</w:t>
            </w:r>
          </w:p>
        </w:tc>
        <w:tc>
          <w:tcPr>
            <w:tcW w:w="6557" w:type="dxa"/>
            <w:tcBorders>
              <w:left w:val="single" w:color="auto" w:sz="4" w:space="0"/>
              <w:right w:val="single" w:color="auto" w:sz="4" w:space="0"/>
            </w:tcBorders>
            <w:vAlign w:val="center"/>
          </w:tcPr>
          <w:p>
            <w:pPr>
              <w:spacing w:line="440" w:lineRule="exact"/>
              <w:rPr>
                <w:rFonts w:ascii="宋体" w:hAnsi="宋体"/>
                <w:b/>
                <w:bCs/>
                <w:szCs w:val="21"/>
              </w:rPr>
            </w:pPr>
            <w:r>
              <w:rPr>
                <w:rFonts w:hint="eastAsia" w:ascii="宋体" w:hAnsi="宋体"/>
                <w:b/>
                <w:bCs/>
                <w:szCs w:val="21"/>
              </w:rPr>
              <w:t>投标文件资格证明文件包装袋的标记：</w:t>
            </w:r>
          </w:p>
          <w:p>
            <w:pPr>
              <w:autoSpaceDE w:val="0"/>
              <w:autoSpaceDN w:val="0"/>
              <w:adjustRightInd w:val="0"/>
              <w:spacing w:line="360" w:lineRule="auto"/>
              <w:jc w:val="left"/>
              <w:rPr>
                <w:rFonts w:ascii="宋体" w:hAnsi="宋体"/>
                <w:kern w:val="0"/>
                <w:szCs w:val="21"/>
              </w:rPr>
            </w:pPr>
            <w:r>
              <w:rPr>
                <w:rFonts w:hint="eastAsia" w:ascii="宋体" w:hAnsi="宋体"/>
                <w:kern w:val="0"/>
                <w:szCs w:val="21"/>
              </w:rPr>
              <w:t>采购人名称：</w:t>
            </w:r>
          </w:p>
          <w:p>
            <w:pPr>
              <w:autoSpaceDE w:val="0"/>
              <w:autoSpaceDN w:val="0"/>
              <w:adjustRightInd w:val="0"/>
              <w:spacing w:line="360" w:lineRule="auto"/>
              <w:jc w:val="left"/>
              <w:rPr>
                <w:rFonts w:ascii="宋体" w:hAnsi="宋体"/>
                <w:kern w:val="0"/>
                <w:szCs w:val="21"/>
              </w:rPr>
            </w:pPr>
            <w:r>
              <w:rPr>
                <w:rFonts w:hint="eastAsia" w:ascii="宋体" w:hAnsi="宋体"/>
                <w:kern w:val="0"/>
                <w:szCs w:val="21"/>
              </w:rPr>
              <w:t>投标人名称：</w:t>
            </w:r>
          </w:p>
          <w:p>
            <w:pPr>
              <w:autoSpaceDE w:val="0"/>
              <w:autoSpaceDN w:val="0"/>
              <w:adjustRightInd w:val="0"/>
              <w:spacing w:line="360" w:lineRule="auto"/>
              <w:rPr>
                <w:rFonts w:hint="eastAsia" w:ascii="宋体" w:hAnsi="宋体"/>
                <w:kern w:val="0"/>
                <w:szCs w:val="21"/>
                <w:u w:val="single"/>
              </w:rPr>
            </w:pPr>
            <w:r>
              <w:rPr>
                <w:rFonts w:hint="eastAsia" w:ascii="宋体" w:hAnsi="宋体"/>
                <w:kern w:val="0"/>
                <w:szCs w:val="21"/>
                <w:u w:val="single"/>
              </w:rPr>
              <w:t xml:space="preserve">                          </w:t>
            </w:r>
            <w:r>
              <w:rPr>
                <w:rFonts w:hint="eastAsia" w:ascii="宋体" w:hAnsi="宋体"/>
                <w:kern w:val="0"/>
                <w:szCs w:val="21"/>
              </w:rPr>
              <w:t>项目投标文件资格证明文件</w:t>
            </w:r>
          </w:p>
          <w:p>
            <w:pPr>
              <w:spacing w:line="440" w:lineRule="exact"/>
              <w:rPr>
                <w:rFonts w:hint="eastAsia" w:ascii="宋体" w:hAnsi="宋体"/>
                <w:kern w:val="0"/>
                <w:szCs w:val="21"/>
              </w:rPr>
            </w:pPr>
            <w:r>
              <w:rPr>
                <w:rFonts w:hint="eastAsia" w:ascii="宋体" w:hAnsi="宋体"/>
                <w:kern w:val="0"/>
                <w:szCs w:val="21"/>
              </w:rPr>
              <w:t>在</w:t>
            </w:r>
            <w:r>
              <w:rPr>
                <w:rFonts w:hint="eastAsia" w:ascii="宋体" w:hAnsi="宋体"/>
                <w:kern w:val="0"/>
                <w:szCs w:val="21"/>
                <w:u w:val="single"/>
              </w:rPr>
              <w:t xml:space="preserve">     </w:t>
            </w:r>
            <w:r>
              <w:rPr>
                <w:rFonts w:hint="eastAsia" w:ascii="宋体" w:hAnsi="宋体"/>
                <w:kern w:val="0"/>
                <w:szCs w:val="21"/>
              </w:rPr>
              <w:t>年</w:t>
            </w:r>
            <w:r>
              <w:rPr>
                <w:rFonts w:hint="eastAsia" w:ascii="宋体" w:hAnsi="宋体"/>
                <w:kern w:val="0"/>
                <w:szCs w:val="21"/>
                <w:u w:val="single"/>
              </w:rPr>
              <w:t xml:space="preserve">    </w:t>
            </w:r>
            <w:r>
              <w:rPr>
                <w:rFonts w:hint="eastAsia" w:ascii="宋体" w:hAnsi="宋体"/>
                <w:kern w:val="0"/>
                <w:szCs w:val="21"/>
              </w:rPr>
              <w:t>月</w:t>
            </w:r>
            <w:r>
              <w:rPr>
                <w:rFonts w:hint="eastAsia" w:ascii="宋体" w:hAnsi="宋体"/>
                <w:kern w:val="0"/>
                <w:szCs w:val="21"/>
                <w:u w:val="single"/>
              </w:rPr>
              <w:t xml:space="preserve">    </w:t>
            </w:r>
            <w:r>
              <w:rPr>
                <w:rFonts w:hint="eastAsia" w:ascii="宋体" w:hAnsi="宋体"/>
                <w:kern w:val="0"/>
                <w:szCs w:val="21"/>
              </w:rPr>
              <w:t>日</w:t>
            </w:r>
            <w:r>
              <w:rPr>
                <w:rFonts w:hint="eastAsia" w:ascii="宋体" w:hAnsi="宋体"/>
                <w:kern w:val="0"/>
                <w:szCs w:val="21"/>
                <w:u w:val="single"/>
              </w:rPr>
              <w:t xml:space="preserve">    </w:t>
            </w:r>
            <w:r>
              <w:rPr>
                <w:rFonts w:hint="eastAsia" w:ascii="宋体" w:hAnsi="宋体"/>
                <w:kern w:val="0"/>
                <w:szCs w:val="21"/>
              </w:rPr>
              <w:t>时</w:t>
            </w:r>
            <w:r>
              <w:rPr>
                <w:rFonts w:hint="eastAsia" w:ascii="宋体" w:hAnsi="宋体"/>
                <w:kern w:val="0"/>
                <w:szCs w:val="21"/>
                <w:u w:val="single"/>
              </w:rPr>
              <w:t xml:space="preserve">    </w:t>
            </w:r>
            <w:r>
              <w:rPr>
                <w:rFonts w:hint="eastAsia" w:ascii="宋体" w:hAnsi="宋体"/>
                <w:kern w:val="0"/>
                <w:szCs w:val="21"/>
              </w:rPr>
              <w:t>分前不得开启</w:t>
            </w:r>
          </w:p>
          <w:p>
            <w:pPr>
              <w:spacing w:line="440" w:lineRule="exact"/>
              <w:rPr>
                <w:rFonts w:ascii="宋体" w:hAnsi="宋体"/>
                <w:b/>
                <w:bCs/>
                <w:szCs w:val="21"/>
              </w:rPr>
            </w:pPr>
            <w:r>
              <w:rPr>
                <w:rFonts w:hint="eastAsia" w:ascii="宋体" w:hAnsi="宋体"/>
                <w:b/>
                <w:bCs/>
                <w:szCs w:val="21"/>
              </w:rPr>
              <w:t>投标文件商务、技术证明文件包装袋的标记：</w:t>
            </w:r>
          </w:p>
          <w:p>
            <w:pPr>
              <w:autoSpaceDE w:val="0"/>
              <w:autoSpaceDN w:val="0"/>
              <w:adjustRightInd w:val="0"/>
              <w:spacing w:line="360" w:lineRule="auto"/>
              <w:jc w:val="left"/>
              <w:rPr>
                <w:rFonts w:ascii="宋体" w:hAnsi="宋体"/>
                <w:kern w:val="0"/>
                <w:szCs w:val="21"/>
              </w:rPr>
            </w:pPr>
            <w:r>
              <w:rPr>
                <w:rFonts w:hint="eastAsia" w:ascii="宋体" w:hAnsi="宋体"/>
                <w:kern w:val="0"/>
                <w:szCs w:val="21"/>
              </w:rPr>
              <w:t>采购人名称：</w:t>
            </w:r>
          </w:p>
          <w:p>
            <w:pPr>
              <w:autoSpaceDE w:val="0"/>
              <w:autoSpaceDN w:val="0"/>
              <w:adjustRightInd w:val="0"/>
              <w:spacing w:line="360" w:lineRule="auto"/>
              <w:jc w:val="left"/>
              <w:rPr>
                <w:rFonts w:ascii="宋体" w:hAnsi="宋体"/>
                <w:kern w:val="0"/>
                <w:szCs w:val="21"/>
              </w:rPr>
            </w:pPr>
            <w:r>
              <w:rPr>
                <w:rFonts w:hint="eastAsia" w:ascii="宋体" w:hAnsi="宋体"/>
                <w:kern w:val="0"/>
                <w:szCs w:val="21"/>
              </w:rPr>
              <w:t>投标人名称：</w:t>
            </w:r>
          </w:p>
          <w:p>
            <w:pPr>
              <w:autoSpaceDE w:val="0"/>
              <w:autoSpaceDN w:val="0"/>
              <w:adjustRightInd w:val="0"/>
              <w:spacing w:line="360" w:lineRule="auto"/>
              <w:rPr>
                <w:rFonts w:hint="eastAsia" w:ascii="宋体" w:hAnsi="宋体"/>
                <w:kern w:val="0"/>
                <w:szCs w:val="21"/>
                <w:u w:val="single"/>
              </w:rPr>
            </w:pPr>
            <w:r>
              <w:rPr>
                <w:rFonts w:hint="eastAsia" w:ascii="宋体" w:hAnsi="宋体"/>
                <w:kern w:val="0"/>
                <w:szCs w:val="21"/>
                <w:u w:val="single"/>
              </w:rPr>
              <w:t xml:space="preserve">                          </w:t>
            </w:r>
            <w:r>
              <w:rPr>
                <w:rFonts w:hint="eastAsia" w:ascii="宋体" w:hAnsi="宋体"/>
                <w:kern w:val="0"/>
                <w:szCs w:val="21"/>
              </w:rPr>
              <w:t>项目投标文件商务、技术证明文件</w:t>
            </w:r>
          </w:p>
          <w:p>
            <w:pPr>
              <w:spacing w:line="440" w:lineRule="exact"/>
              <w:rPr>
                <w:rFonts w:hint="eastAsia" w:ascii="宋体" w:hAnsi="宋体"/>
                <w:kern w:val="0"/>
                <w:szCs w:val="21"/>
              </w:rPr>
            </w:pPr>
            <w:r>
              <w:rPr>
                <w:rFonts w:hint="eastAsia" w:ascii="宋体" w:hAnsi="宋体"/>
                <w:kern w:val="0"/>
                <w:szCs w:val="21"/>
              </w:rPr>
              <w:t>在</w:t>
            </w:r>
            <w:r>
              <w:rPr>
                <w:rFonts w:hint="eastAsia" w:ascii="宋体" w:hAnsi="宋体"/>
                <w:kern w:val="0"/>
                <w:szCs w:val="21"/>
                <w:u w:val="single"/>
              </w:rPr>
              <w:t xml:space="preserve">     </w:t>
            </w:r>
            <w:r>
              <w:rPr>
                <w:rFonts w:hint="eastAsia" w:ascii="宋体" w:hAnsi="宋体"/>
                <w:kern w:val="0"/>
                <w:szCs w:val="21"/>
              </w:rPr>
              <w:t>年</w:t>
            </w:r>
            <w:r>
              <w:rPr>
                <w:rFonts w:hint="eastAsia" w:ascii="宋体" w:hAnsi="宋体"/>
                <w:kern w:val="0"/>
                <w:szCs w:val="21"/>
                <w:u w:val="single"/>
              </w:rPr>
              <w:t xml:space="preserve">    </w:t>
            </w:r>
            <w:r>
              <w:rPr>
                <w:rFonts w:hint="eastAsia" w:ascii="宋体" w:hAnsi="宋体"/>
                <w:kern w:val="0"/>
                <w:szCs w:val="21"/>
              </w:rPr>
              <w:t>月</w:t>
            </w:r>
            <w:r>
              <w:rPr>
                <w:rFonts w:hint="eastAsia" w:ascii="宋体" w:hAnsi="宋体"/>
                <w:kern w:val="0"/>
                <w:szCs w:val="21"/>
                <w:u w:val="single"/>
              </w:rPr>
              <w:t xml:space="preserve">    </w:t>
            </w:r>
            <w:r>
              <w:rPr>
                <w:rFonts w:hint="eastAsia" w:ascii="宋体" w:hAnsi="宋体"/>
                <w:kern w:val="0"/>
                <w:szCs w:val="21"/>
              </w:rPr>
              <w:t>日</w:t>
            </w:r>
            <w:r>
              <w:rPr>
                <w:rFonts w:hint="eastAsia" w:ascii="宋体" w:hAnsi="宋体"/>
                <w:kern w:val="0"/>
                <w:szCs w:val="21"/>
                <w:u w:val="single"/>
              </w:rPr>
              <w:t xml:space="preserve">    </w:t>
            </w:r>
            <w:r>
              <w:rPr>
                <w:rFonts w:hint="eastAsia" w:ascii="宋体" w:hAnsi="宋体"/>
                <w:kern w:val="0"/>
                <w:szCs w:val="21"/>
              </w:rPr>
              <w:t>时</w:t>
            </w:r>
            <w:r>
              <w:rPr>
                <w:rFonts w:hint="eastAsia" w:ascii="宋体" w:hAnsi="宋体"/>
                <w:kern w:val="0"/>
                <w:szCs w:val="21"/>
                <w:u w:val="single"/>
              </w:rPr>
              <w:t xml:space="preserve">    </w:t>
            </w:r>
            <w:r>
              <w:rPr>
                <w:rFonts w:hint="eastAsia" w:ascii="宋体" w:hAnsi="宋体"/>
                <w:kern w:val="0"/>
                <w:szCs w:val="21"/>
              </w:rPr>
              <w:t>分前不得开启</w:t>
            </w:r>
          </w:p>
          <w:p>
            <w:pPr>
              <w:spacing w:line="400" w:lineRule="exact"/>
              <w:ind w:firstLine="482" w:firstLineChars="200"/>
              <w:rPr>
                <w:rFonts w:ascii="宋体" w:hAnsi="宋体"/>
                <w:szCs w:val="21"/>
              </w:rPr>
            </w:pPr>
            <w:r>
              <w:rPr>
                <w:rFonts w:hint="eastAsia" w:ascii="宋体" w:hAnsi="宋体"/>
                <w:b/>
                <w:kern w:val="0"/>
                <w:szCs w:val="21"/>
              </w:rPr>
              <w:t>注：未按上述要求（打印）标记的，采购人有权拒收投标人的投标文件。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843" w:type="dxa"/>
            <w:tcBorders>
              <w:top w:val="single" w:color="auto" w:sz="4" w:space="0"/>
              <w:left w:val="single" w:color="auto" w:sz="4" w:space="0"/>
              <w:bottom w:val="single" w:color="auto" w:sz="4" w:space="0"/>
              <w:right w:val="single" w:color="auto" w:sz="4" w:space="0"/>
            </w:tcBorders>
            <w:vAlign w:val="center"/>
          </w:tcPr>
          <w:p>
            <w:pPr>
              <w:numPr>
                <w:ilvl w:val="0"/>
                <w:numId w:val="6"/>
              </w:numPr>
              <w:spacing w:line="400" w:lineRule="exact"/>
              <w:jc w:val="center"/>
              <w:rPr>
                <w:rFonts w:ascii="宋体" w:hAnsi="宋体"/>
                <w:kern w:val="0"/>
                <w:szCs w:val="21"/>
              </w:rPr>
            </w:pPr>
          </w:p>
        </w:tc>
        <w:tc>
          <w:tcPr>
            <w:tcW w:w="1780" w:type="dxa"/>
            <w:gridSpan w:val="2"/>
            <w:tcBorders>
              <w:left w:val="single" w:color="auto" w:sz="4" w:space="0"/>
              <w:right w:val="single" w:color="auto" w:sz="4" w:space="0"/>
            </w:tcBorders>
            <w:vAlign w:val="center"/>
          </w:tcPr>
          <w:p>
            <w:pPr>
              <w:spacing w:line="400" w:lineRule="exact"/>
              <w:jc w:val="center"/>
              <w:rPr>
                <w:rFonts w:ascii="宋体" w:hAnsi="宋体"/>
                <w:szCs w:val="21"/>
              </w:rPr>
            </w:pPr>
            <w:r>
              <w:rPr>
                <w:rFonts w:hint="eastAsia" w:ascii="宋体" w:hAnsi="宋体"/>
                <w:szCs w:val="21"/>
              </w:rPr>
              <w:t>评标委员会</w:t>
            </w:r>
          </w:p>
        </w:tc>
        <w:tc>
          <w:tcPr>
            <w:tcW w:w="6557" w:type="dxa"/>
            <w:tcBorders>
              <w:left w:val="single" w:color="auto" w:sz="4" w:space="0"/>
              <w:right w:val="single" w:color="auto" w:sz="4" w:space="0"/>
            </w:tcBorders>
            <w:vAlign w:val="center"/>
          </w:tcPr>
          <w:p>
            <w:pPr>
              <w:spacing w:line="400" w:lineRule="exact"/>
              <w:ind w:firstLine="480" w:firstLineChars="200"/>
              <w:rPr>
                <w:rFonts w:ascii="宋体" w:hAnsi="宋体"/>
                <w:szCs w:val="21"/>
              </w:rPr>
            </w:pPr>
            <w:r>
              <w:rPr>
                <w:rFonts w:hint="eastAsia" w:ascii="宋体" w:hAnsi="宋体"/>
                <w:szCs w:val="21"/>
              </w:rPr>
              <w:t>评标委员会由采购人代表和评审专家组成，成员人数应当为5人及以上单数，其中评审专家不得少于成员总数的三分之二。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843" w:type="dxa"/>
            <w:tcBorders>
              <w:top w:val="single" w:color="auto" w:sz="4" w:space="0"/>
              <w:left w:val="single" w:color="auto" w:sz="4" w:space="0"/>
              <w:bottom w:val="single" w:color="auto" w:sz="4" w:space="0"/>
              <w:right w:val="single" w:color="auto" w:sz="4" w:space="0"/>
            </w:tcBorders>
            <w:vAlign w:val="center"/>
          </w:tcPr>
          <w:p>
            <w:pPr>
              <w:numPr>
                <w:ilvl w:val="0"/>
                <w:numId w:val="6"/>
              </w:numPr>
              <w:spacing w:line="400" w:lineRule="exact"/>
              <w:jc w:val="center"/>
              <w:rPr>
                <w:rFonts w:ascii="宋体" w:hAnsi="宋体"/>
                <w:kern w:val="0"/>
                <w:szCs w:val="21"/>
              </w:rPr>
            </w:pPr>
          </w:p>
        </w:tc>
        <w:tc>
          <w:tcPr>
            <w:tcW w:w="1780" w:type="dxa"/>
            <w:gridSpan w:val="2"/>
            <w:tcBorders>
              <w:left w:val="single" w:color="auto" w:sz="4" w:space="0"/>
              <w:right w:val="single" w:color="auto" w:sz="4" w:space="0"/>
            </w:tcBorders>
            <w:vAlign w:val="center"/>
          </w:tcPr>
          <w:p>
            <w:pPr>
              <w:spacing w:line="440" w:lineRule="exact"/>
              <w:jc w:val="center"/>
              <w:rPr>
                <w:rFonts w:ascii="宋体" w:hAnsi="宋体"/>
                <w:szCs w:val="21"/>
              </w:rPr>
            </w:pPr>
            <w:r>
              <w:rPr>
                <w:rFonts w:hint="eastAsia" w:ascii="宋体" w:hAnsi="宋体"/>
                <w:szCs w:val="21"/>
              </w:rPr>
              <w:t>是否授权评标委员会确定中标人</w:t>
            </w:r>
          </w:p>
        </w:tc>
        <w:tc>
          <w:tcPr>
            <w:tcW w:w="6557" w:type="dxa"/>
            <w:tcBorders>
              <w:left w:val="single" w:color="auto" w:sz="4" w:space="0"/>
              <w:right w:val="single" w:color="auto" w:sz="4" w:space="0"/>
            </w:tcBorders>
            <w:vAlign w:val="center"/>
          </w:tcPr>
          <w:p>
            <w:pPr>
              <w:spacing w:line="440" w:lineRule="exact"/>
              <w:rPr>
                <w:rFonts w:ascii="宋体" w:hAnsi="宋体"/>
                <w:szCs w:val="21"/>
              </w:rPr>
            </w:pPr>
            <w:r>
              <w:rPr>
                <w:rFonts w:hint="eastAsia" w:ascii="宋体" w:hAnsi="宋体"/>
                <w:szCs w:val="21"/>
              </w:rPr>
              <w:t>□是</w:t>
            </w:r>
          </w:p>
          <w:p>
            <w:pPr>
              <w:spacing w:line="440" w:lineRule="exact"/>
              <w:rPr>
                <w:rFonts w:ascii="宋体" w:hAnsi="宋体"/>
                <w:szCs w:val="21"/>
              </w:rPr>
            </w:pPr>
            <w:r>
              <w:rPr>
                <w:rFonts w:hint="eastAsia" w:ascii="宋体" w:hAnsi="宋体"/>
                <w:szCs w:val="21"/>
              </w:rPr>
              <w:sym w:font="Wingdings" w:char="F0FE"/>
            </w:r>
            <w:r>
              <w:rPr>
                <w:rFonts w:hint="eastAsia" w:ascii="宋体" w:hAnsi="宋体"/>
                <w:szCs w:val="21"/>
              </w:rPr>
              <w:t>否，推荐的中标候选人数：3名。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843" w:type="dxa"/>
            <w:tcBorders>
              <w:top w:val="single" w:color="auto" w:sz="4" w:space="0"/>
              <w:left w:val="single" w:color="auto" w:sz="4" w:space="0"/>
              <w:bottom w:val="single" w:color="auto" w:sz="4" w:space="0"/>
              <w:right w:val="single" w:color="auto" w:sz="4" w:space="0"/>
            </w:tcBorders>
            <w:vAlign w:val="center"/>
          </w:tcPr>
          <w:p>
            <w:pPr>
              <w:numPr>
                <w:ilvl w:val="0"/>
                <w:numId w:val="6"/>
              </w:numPr>
              <w:spacing w:line="400" w:lineRule="exact"/>
              <w:jc w:val="center"/>
              <w:rPr>
                <w:rFonts w:ascii="宋体" w:hAnsi="宋体"/>
                <w:kern w:val="0"/>
                <w:szCs w:val="21"/>
              </w:rPr>
            </w:pPr>
          </w:p>
        </w:tc>
        <w:tc>
          <w:tcPr>
            <w:tcW w:w="1780" w:type="dxa"/>
            <w:gridSpan w:val="2"/>
            <w:tcBorders>
              <w:left w:val="single" w:color="auto" w:sz="4" w:space="0"/>
              <w:right w:val="single" w:color="auto" w:sz="4" w:space="0"/>
            </w:tcBorders>
            <w:vAlign w:val="center"/>
          </w:tcPr>
          <w:p>
            <w:pPr>
              <w:spacing w:line="440" w:lineRule="exact"/>
              <w:jc w:val="center"/>
              <w:rPr>
                <w:rFonts w:ascii="宋体" w:hAnsi="宋体"/>
                <w:szCs w:val="21"/>
              </w:rPr>
            </w:pPr>
            <w:r>
              <w:rPr>
                <w:rFonts w:hint="eastAsia" w:ascii="宋体" w:hAnsi="宋体"/>
                <w:color w:val="000000"/>
                <w:szCs w:val="21"/>
              </w:rPr>
              <w:t>签订合同</w:t>
            </w:r>
          </w:p>
        </w:tc>
        <w:tc>
          <w:tcPr>
            <w:tcW w:w="6557" w:type="dxa"/>
            <w:tcBorders>
              <w:left w:val="single" w:color="auto" w:sz="4" w:space="0"/>
              <w:right w:val="single" w:color="auto" w:sz="4" w:space="0"/>
            </w:tcBorders>
            <w:vAlign w:val="center"/>
          </w:tcPr>
          <w:p>
            <w:pPr>
              <w:spacing w:line="440" w:lineRule="exact"/>
              <w:rPr>
                <w:rFonts w:ascii="宋体" w:hAnsi="宋体"/>
                <w:szCs w:val="21"/>
              </w:rPr>
            </w:pPr>
            <w:r>
              <w:rPr>
                <w:rFonts w:hint="eastAsia" w:ascii="宋体" w:hAnsi="宋体"/>
                <w:color w:val="000000"/>
                <w:szCs w:val="21"/>
              </w:rPr>
              <w:t>中标人在《中</w:t>
            </w:r>
            <w:r>
              <w:rPr>
                <w:rFonts w:hint="eastAsia" w:ascii="宋体" w:hAnsi="宋体"/>
                <w:szCs w:val="21"/>
              </w:rPr>
              <w:t>标通知书》发出后</w:t>
            </w:r>
            <w:r>
              <w:rPr>
                <w:rFonts w:hint="eastAsia" w:ascii="宋体" w:hAnsi="宋体"/>
                <w:szCs w:val="21"/>
                <w:u w:val="single"/>
              </w:rPr>
              <w:t xml:space="preserve">  30　</w:t>
            </w:r>
            <w:r>
              <w:rPr>
                <w:rFonts w:hint="eastAsia" w:ascii="宋体" w:hAnsi="宋体"/>
                <w:szCs w:val="21"/>
              </w:rPr>
              <w:t>日内，根据招标文件和中标人的投标文件与采购人签订合同。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43" w:type="dxa"/>
            <w:tcBorders>
              <w:top w:val="single" w:color="auto" w:sz="4" w:space="0"/>
              <w:left w:val="single" w:color="auto" w:sz="4" w:space="0"/>
              <w:bottom w:val="single" w:color="auto" w:sz="4" w:space="0"/>
              <w:right w:val="single" w:color="auto" w:sz="4" w:space="0"/>
            </w:tcBorders>
            <w:vAlign w:val="center"/>
          </w:tcPr>
          <w:p>
            <w:pPr>
              <w:numPr>
                <w:ilvl w:val="0"/>
                <w:numId w:val="6"/>
              </w:numPr>
              <w:spacing w:line="400" w:lineRule="exact"/>
              <w:jc w:val="center"/>
              <w:rPr>
                <w:rFonts w:ascii="宋体" w:hAnsi="宋体"/>
                <w:kern w:val="0"/>
                <w:szCs w:val="21"/>
              </w:rPr>
            </w:pPr>
          </w:p>
        </w:tc>
        <w:tc>
          <w:tcPr>
            <w:tcW w:w="8337" w:type="dxa"/>
            <w:gridSpan w:val="3"/>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kern w:val="0"/>
                <w:szCs w:val="21"/>
              </w:rPr>
            </w:pPr>
            <w:r>
              <w:rPr>
                <w:rFonts w:hint="eastAsia" w:ascii="宋体" w:hAnsi="宋体"/>
                <w:kern w:val="0"/>
                <w:szCs w:val="21"/>
              </w:rPr>
              <w:t>本项目是否专门面向中小企业采购：否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6" w:hRule="atLeast"/>
          <w:jc w:val="center"/>
        </w:trPr>
        <w:tc>
          <w:tcPr>
            <w:tcW w:w="843" w:type="dxa"/>
            <w:tcBorders>
              <w:top w:val="single" w:color="auto" w:sz="4" w:space="0"/>
              <w:left w:val="single" w:color="auto" w:sz="4" w:space="0"/>
              <w:bottom w:val="single" w:color="auto" w:sz="4" w:space="0"/>
              <w:right w:val="single" w:color="auto" w:sz="4" w:space="0"/>
            </w:tcBorders>
            <w:vAlign w:val="center"/>
          </w:tcPr>
          <w:p>
            <w:pPr>
              <w:numPr>
                <w:ilvl w:val="0"/>
                <w:numId w:val="6"/>
              </w:numPr>
              <w:spacing w:line="400" w:lineRule="exact"/>
              <w:jc w:val="center"/>
              <w:rPr>
                <w:rFonts w:ascii="宋体" w:hAnsi="宋体"/>
                <w:kern w:val="0"/>
                <w:szCs w:val="21"/>
              </w:rPr>
            </w:pPr>
          </w:p>
        </w:tc>
        <w:tc>
          <w:tcPr>
            <w:tcW w:w="8337" w:type="dxa"/>
            <w:gridSpan w:val="3"/>
            <w:tcBorders>
              <w:top w:val="single" w:color="auto" w:sz="4" w:space="0"/>
              <w:left w:val="single" w:color="auto" w:sz="4" w:space="0"/>
              <w:right w:val="single" w:color="auto" w:sz="4" w:space="0"/>
            </w:tcBorders>
            <w:vAlign w:val="center"/>
          </w:tcPr>
          <w:p>
            <w:pPr>
              <w:spacing w:line="400" w:lineRule="exact"/>
              <w:rPr>
                <w:rFonts w:ascii="宋体" w:hAnsi="宋体"/>
                <w:kern w:val="0"/>
                <w:szCs w:val="21"/>
              </w:rPr>
            </w:pPr>
            <w:r>
              <w:rPr>
                <w:rFonts w:hint="eastAsia" w:ascii="宋体" w:hAnsi="宋体"/>
                <w:kern w:val="0"/>
                <w:szCs w:val="21"/>
              </w:rPr>
              <w:t>本项目采购的所有产品是否允许进口产品投标：是（进口产品是指通过中国海关报关验放进入中国境内且产自关境外的产品。）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6" w:hRule="atLeast"/>
          <w:jc w:val="center"/>
        </w:trPr>
        <w:tc>
          <w:tcPr>
            <w:tcW w:w="843" w:type="dxa"/>
            <w:tcBorders>
              <w:top w:val="single" w:color="auto" w:sz="4" w:space="0"/>
              <w:left w:val="single" w:color="auto" w:sz="4" w:space="0"/>
              <w:bottom w:val="single" w:color="auto" w:sz="4" w:space="0"/>
              <w:right w:val="single" w:color="auto" w:sz="4" w:space="0"/>
            </w:tcBorders>
            <w:vAlign w:val="center"/>
          </w:tcPr>
          <w:p>
            <w:pPr>
              <w:numPr>
                <w:ilvl w:val="0"/>
                <w:numId w:val="6"/>
              </w:numPr>
              <w:spacing w:line="400" w:lineRule="exact"/>
              <w:jc w:val="center"/>
              <w:rPr>
                <w:rFonts w:ascii="宋体" w:hAnsi="宋体"/>
                <w:kern w:val="0"/>
                <w:szCs w:val="21"/>
              </w:rPr>
            </w:pPr>
          </w:p>
        </w:tc>
        <w:tc>
          <w:tcPr>
            <w:tcW w:w="8337" w:type="dxa"/>
            <w:gridSpan w:val="3"/>
            <w:tcBorders>
              <w:top w:val="single" w:color="auto" w:sz="4" w:space="0"/>
              <w:left w:val="single" w:color="auto" w:sz="4" w:space="0"/>
              <w:right w:val="single" w:color="auto" w:sz="4" w:space="0"/>
            </w:tcBorders>
            <w:vAlign w:val="center"/>
          </w:tcPr>
          <w:p>
            <w:pPr>
              <w:spacing w:line="400" w:lineRule="exact"/>
              <w:rPr>
                <w:rFonts w:ascii="宋体" w:hAnsi="宋体"/>
                <w:kern w:val="0"/>
                <w:szCs w:val="21"/>
              </w:rPr>
            </w:pPr>
            <w:r>
              <w:rPr>
                <w:rFonts w:hint="eastAsia" w:ascii="宋体" w:hAnsi="宋体"/>
                <w:b/>
                <w:bCs/>
              </w:rPr>
              <w:t>招标文件要求提交证明材料</w:t>
            </w:r>
            <w:r>
              <w:rPr>
                <w:rFonts w:hint="eastAsia" w:ascii="宋体" w:hAnsi="宋体"/>
                <w:b/>
                <w:bCs/>
                <w:color w:val="0000FF"/>
              </w:rPr>
              <w:t>（除法定代表人身份证或其委托代理人身份证、授权委托书外）</w:t>
            </w:r>
            <w:r>
              <w:rPr>
                <w:rFonts w:hint="eastAsia" w:ascii="宋体" w:hAnsi="宋体"/>
                <w:b/>
                <w:bCs/>
              </w:rPr>
              <w:t>的原件，装入密封袋（箱）内，并加以密封，且列出核查清单（见附件1），核查清单应附在原件密封袋（箱）表面上。递交投标文件的同时将原件交予现场工作人员，评标结束后退还给各投标人。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6" w:hRule="atLeast"/>
          <w:jc w:val="center"/>
        </w:trPr>
        <w:tc>
          <w:tcPr>
            <w:tcW w:w="843" w:type="dxa"/>
            <w:tcBorders>
              <w:top w:val="single" w:color="auto" w:sz="4" w:space="0"/>
              <w:left w:val="single" w:color="auto" w:sz="4" w:space="0"/>
              <w:bottom w:val="single" w:color="auto" w:sz="4" w:space="0"/>
              <w:right w:val="single" w:color="auto" w:sz="4" w:space="0"/>
            </w:tcBorders>
            <w:vAlign w:val="center"/>
          </w:tcPr>
          <w:p>
            <w:pPr>
              <w:numPr>
                <w:ilvl w:val="0"/>
                <w:numId w:val="6"/>
              </w:numPr>
              <w:spacing w:line="400" w:lineRule="exact"/>
              <w:jc w:val="center"/>
              <w:rPr>
                <w:rFonts w:ascii="宋体" w:hAnsi="宋体"/>
                <w:kern w:val="0"/>
                <w:szCs w:val="21"/>
              </w:rPr>
            </w:pPr>
          </w:p>
        </w:tc>
        <w:tc>
          <w:tcPr>
            <w:tcW w:w="8337" w:type="dxa"/>
            <w:gridSpan w:val="3"/>
            <w:tcBorders>
              <w:top w:val="single" w:color="auto" w:sz="4" w:space="0"/>
              <w:left w:val="single" w:color="auto" w:sz="4" w:space="0"/>
              <w:right w:val="single" w:color="auto" w:sz="4" w:space="0"/>
            </w:tcBorders>
            <w:vAlign w:val="center"/>
          </w:tcPr>
          <w:p>
            <w:pPr>
              <w:ind w:firstLine="480" w:firstLineChars="200"/>
              <w:rPr>
                <w:rFonts w:ascii="宋体" w:hAnsi="宋体"/>
                <w:kern w:val="0"/>
                <w:szCs w:val="21"/>
              </w:rPr>
            </w:pPr>
            <w:r>
              <w:rPr>
                <w:rFonts w:hint="eastAsia" w:ascii="宋体" w:hAnsi="宋体"/>
                <w:kern w:val="0"/>
                <w:szCs w:val="21"/>
              </w:rPr>
              <w:t>此招标文件解释权归采购人或其委托的代理机构，未尽事宜按国家相关法律法规执行。</w:t>
            </w:r>
          </w:p>
          <w:p>
            <w:pPr>
              <w:numPr>
                <w:ilvl w:val="1"/>
                <w:numId w:val="7"/>
              </w:numPr>
              <w:ind w:firstLine="480" w:firstLineChars="200"/>
              <w:rPr>
                <w:rFonts w:ascii="宋体" w:hAnsi="宋体"/>
                <w:szCs w:val="21"/>
              </w:rPr>
            </w:pPr>
            <w:r>
              <w:rPr>
                <w:rFonts w:hint="eastAsia" w:ascii="宋体" w:hAnsi="宋体"/>
                <w:szCs w:val="21"/>
              </w:rPr>
              <w:t>在评标过程中，评标委员会成员存在争议时，可以以少数服从多数的原则解决争议；</w:t>
            </w:r>
          </w:p>
          <w:p>
            <w:pPr>
              <w:numPr>
                <w:ilvl w:val="1"/>
                <w:numId w:val="7"/>
              </w:numPr>
              <w:ind w:firstLine="480" w:firstLineChars="200"/>
              <w:rPr>
                <w:rFonts w:ascii="宋体" w:hAnsi="宋体"/>
                <w:szCs w:val="21"/>
              </w:rPr>
            </w:pPr>
            <w:r>
              <w:rPr>
                <w:rFonts w:hint="eastAsia" w:ascii="宋体" w:hAnsi="宋体"/>
                <w:szCs w:val="21"/>
              </w:rPr>
              <w:t>在评标过程中，采购人或其委托的代理机构认为评标委员会对招标文件存在误解时，可对招标文件做出解释，并承担相应责任，评标委员会应当依据该解释评标；评标委员会对采购人或其委托的代理机构的解释不承担责任，认为有必要的，可将该解释情况写入评标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843" w:type="dxa"/>
            <w:tcBorders>
              <w:top w:val="single" w:color="auto" w:sz="4" w:space="0"/>
              <w:left w:val="single" w:color="auto" w:sz="4" w:space="0"/>
              <w:bottom w:val="single" w:color="auto" w:sz="4" w:space="0"/>
              <w:right w:val="single" w:color="auto" w:sz="4" w:space="0"/>
            </w:tcBorders>
            <w:vAlign w:val="center"/>
          </w:tcPr>
          <w:p>
            <w:pPr>
              <w:numPr>
                <w:ilvl w:val="0"/>
                <w:numId w:val="6"/>
              </w:numPr>
              <w:spacing w:line="400" w:lineRule="exact"/>
              <w:jc w:val="center"/>
              <w:rPr>
                <w:rFonts w:ascii="宋体" w:hAnsi="宋体"/>
                <w:kern w:val="0"/>
                <w:szCs w:val="21"/>
              </w:rPr>
            </w:pPr>
          </w:p>
        </w:tc>
        <w:tc>
          <w:tcPr>
            <w:tcW w:w="1562"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kern w:val="0"/>
                <w:szCs w:val="21"/>
              </w:rPr>
            </w:pPr>
            <w:r>
              <w:rPr>
                <w:rFonts w:hint="eastAsia" w:ascii="宋体" w:hAnsi="宋体"/>
                <w:kern w:val="0"/>
                <w:szCs w:val="21"/>
              </w:rPr>
              <w:t>采购代理机构代理服务费</w:t>
            </w:r>
          </w:p>
        </w:tc>
        <w:tc>
          <w:tcPr>
            <w:tcW w:w="677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kern w:val="0"/>
                <w:szCs w:val="21"/>
              </w:rPr>
            </w:pPr>
            <w:r>
              <w:rPr>
                <w:rFonts w:hint="eastAsia" w:ascii="宋体" w:hAnsi="宋体"/>
                <w:kern w:val="0"/>
                <w:szCs w:val="21"/>
              </w:rPr>
              <w:t>本项目收取代理服务费：</w:t>
            </w:r>
          </w:p>
          <w:p>
            <w:pPr>
              <w:numPr>
                <w:ilvl w:val="0"/>
                <w:numId w:val="8"/>
              </w:numPr>
              <w:spacing w:line="400" w:lineRule="exact"/>
              <w:rPr>
                <w:rFonts w:ascii="宋体" w:hAnsi="宋体"/>
                <w:kern w:val="0"/>
                <w:szCs w:val="21"/>
              </w:rPr>
            </w:pPr>
            <w:r>
              <w:rPr>
                <w:rFonts w:hint="eastAsia" w:ascii="宋体" w:hAnsi="宋体"/>
                <w:kern w:val="0"/>
                <w:szCs w:val="21"/>
              </w:rPr>
              <w:t>采购代理机构代理服务费用收取标准：见《采购代理机构代理费用的收取标准》。</w:t>
            </w:r>
          </w:p>
          <w:p>
            <w:pPr>
              <w:numPr>
                <w:ilvl w:val="0"/>
                <w:numId w:val="8"/>
              </w:numPr>
              <w:spacing w:line="400" w:lineRule="exact"/>
              <w:rPr>
                <w:rFonts w:ascii="宋体" w:hAnsi="宋体"/>
                <w:kern w:val="0"/>
                <w:szCs w:val="21"/>
              </w:rPr>
            </w:pPr>
            <w:r>
              <w:rPr>
                <w:rFonts w:hint="eastAsia" w:ascii="宋体" w:hAnsi="宋体"/>
                <w:kern w:val="0"/>
                <w:szCs w:val="21"/>
              </w:rPr>
              <w:t>支付方式：现金。</w:t>
            </w:r>
          </w:p>
          <w:p>
            <w:pPr>
              <w:numPr>
                <w:ilvl w:val="0"/>
                <w:numId w:val="8"/>
              </w:numPr>
              <w:spacing w:line="400" w:lineRule="exact"/>
              <w:rPr>
                <w:rFonts w:ascii="宋体" w:hAnsi="宋体"/>
                <w:kern w:val="0"/>
                <w:szCs w:val="21"/>
              </w:rPr>
            </w:pPr>
            <w:r>
              <w:rPr>
                <w:rFonts w:hint="eastAsia" w:ascii="宋体" w:hAnsi="宋体"/>
                <w:kern w:val="0"/>
                <w:szCs w:val="21"/>
              </w:rPr>
              <w:t>采购代理机构代理服务费由中标人支付。</w:t>
            </w:r>
          </w:p>
        </w:tc>
      </w:tr>
    </w:tbl>
    <w:p>
      <w:pPr>
        <w:autoSpaceDN w:val="0"/>
        <w:spacing w:before="75" w:after="75"/>
        <w:jc w:val="center"/>
        <w:rPr>
          <w:rFonts w:ascii="宋体" w:hAnsi="宋体"/>
          <w:b/>
          <w:color w:val="000000"/>
          <w:sz w:val="32"/>
        </w:rPr>
      </w:pPr>
    </w:p>
    <w:p>
      <w:pPr>
        <w:pStyle w:val="26"/>
        <w:ind w:firstLine="480"/>
      </w:pPr>
    </w:p>
    <w:p>
      <w:pPr>
        <w:pStyle w:val="26"/>
        <w:ind w:firstLine="480"/>
      </w:pPr>
    </w:p>
    <w:p>
      <w:pPr>
        <w:pStyle w:val="26"/>
        <w:ind w:firstLine="480"/>
      </w:pPr>
    </w:p>
    <w:p>
      <w:pPr>
        <w:pStyle w:val="26"/>
        <w:ind w:firstLine="480"/>
      </w:pPr>
    </w:p>
    <w:p>
      <w:pPr>
        <w:pStyle w:val="26"/>
        <w:ind w:firstLine="480"/>
      </w:pPr>
    </w:p>
    <w:p>
      <w:pPr>
        <w:pStyle w:val="26"/>
        <w:ind w:firstLine="480"/>
      </w:pPr>
    </w:p>
    <w:p>
      <w:pPr>
        <w:autoSpaceDN w:val="0"/>
        <w:spacing w:before="75" w:after="75"/>
        <w:jc w:val="center"/>
        <w:rPr>
          <w:rFonts w:ascii="宋体" w:hAnsi="宋体"/>
          <w:b/>
          <w:color w:val="000000"/>
          <w:sz w:val="32"/>
        </w:rPr>
      </w:pPr>
      <w:r>
        <w:rPr>
          <w:rFonts w:hint="eastAsia" w:ascii="宋体" w:hAnsi="宋体"/>
          <w:b/>
          <w:color w:val="000000"/>
          <w:sz w:val="32"/>
        </w:rPr>
        <w:t>采购代理机构代理费用的收取标准</w:t>
      </w:r>
    </w:p>
    <w:p>
      <w:pPr>
        <w:autoSpaceDN w:val="0"/>
        <w:spacing w:before="75" w:after="75"/>
        <w:jc w:val="center"/>
        <w:rPr>
          <w:rFonts w:ascii="宋体" w:hAnsi="宋体"/>
          <w:b/>
          <w:color w:val="000000"/>
          <w:sz w:val="32"/>
        </w:rPr>
      </w:pPr>
      <w:r>
        <w:rPr>
          <w:rFonts w:hint="eastAsia" w:ascii="宋体" w:hAnsi="宋体"/>
          <w:b/>
          <w:color w:val="000000"/>
          <w:sz w:val="32"/>
        </w:rPr>
        <w:drawing>
          <wp:inline distT="0" distB="0" distL="0" distR="0">
            <wp:extent cx="5347970" cy="2764155"/>
            <wp:effectExtent l="19050" t="0" r="5080" b="0"/>
            <wp:docPr id="2" name="图片 1" descr="20160907135837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20160907135837504"/>
                    <pic:cNvPicPr>
                      <a:picLocks noChangeAspect="1" noChangeArrowheads="1"/>
                    </pic:cNvPicPr>
                  </pic:nvPicPr>
                  <pic:blipFill>
                    <a:blip r:embed="rId7" cstate="print"/>
                    <a:srcRect/>
                    <a:stretch>
                      <a:fillRect/>
                    </a:stretch>
                  </pic:blipFill>
                  <pic:spPr>
                    <a:xfrm>
                      <a:off x="0" y="0"/>
                      <a:ext cx="5347970" cy="2764155"/>
                    </a:xfrm>
                    <a:prstGeom prst="rect">
                      <a:avLst/>
                    </a:prstGeom>
                    <a:noFill/>
                    <a:ln w="9525">
                      <a:noFill/>
                      <a:miter lim="800000"/>
                      <a:headEnd/>
                      <a:tailEnd/>
                    </a:ln>
                  </pic:spPr>
                </pic:pic>
              </a:graphicData>
            </a:graphic>
          </wp:inline>
        </w:drawing>
      </w:r>
    </w:p>
    <w:p>
      <w:pPr>
        <w:autoSpaceDN w:val="0"/>
        <w:spacing w:before="75" w:after="75" w:line="360" w:lineRule="auto"/>
        <w:rPr>
          <w:rFonts w:ascii="宋体" w:hAnsi="宋体"/>
          <w:color w:val="000000"/>
          <w:szCs w:val="21"/>
        </w:rPr>
      </w:pPr>
      <w:r>
        <w:rPr>
          <w:rFonts w:hint="eastAsia" w:ascii="宋体" w:hAnsi="宋体"/>
          <w:color w:val="000000"/>
          <w:szCs w:val="21"/>
        </w:rPr>
        <w:t>注：1.按本表费率计算的收费为招标代理服务全过程的收费基准价格。</w:t>
      </w:r>
    </w:p>
    <w:p>
      <w:pPr>
        <w:autoSpaceDN w:val="0"/>
        <w:spacing w:before="75" w:after="75" w:line="360" w:lineRule="auto"/>
        <w:rPr>
          <w:rFonts w:ascii="宋体" w:hAnsi="宋体"/>
          <w:color w:val="000000"/>
          <w:szCs w:val="21"/>
        </w:rPr>
      </w:pPr>
      <w:r>
        <w:rPr>
          <w:rFonts w:hint="eastAsia" w:ascii="宋体" w:hAnsi="宋体"/>
          <w:color w:val="000000"/>
          <w:szCs w:val="21"/>
        </w:rPr>
        <w:t>2.招标代理服务收费按差额定率累进法计算。例如：某货物招标中标金额为500万元，计算招标代理服务收费额如下：</w:t>
      </w:r>
    </w:p>
    <w:p>
      <w:pPr>
        <w:autoSpaceDN w:val="0"/>
        <w:spacing w:before="75" w:after="75" w:line="360" w:lineRule="auto"/>
        <w:rPr>
          <w:rFonts w:ascii="宋体" w:hAnsi="宋体"/>
          <w:color w:val="000000"/>
          <w:szCs w:val="21"/>
        </w:rPr>
      </w:pPr>
      <w:r>
        <w:rPr>
          <w:rFonts w:hint="eastAsia" w:ascii="宋体" w:hAnsi="宋体"/>
          <w:color w:val="000000"/>
          <w:szCs w:val="21"/>
        </w:rPr>
        <w:t>100万元×1.5%=1.5万元</w:t>
      </w:r>
    </w:p>
    <w:p>
      <w:pPr>
        <w:autoSpaceDN w:val="0"/>
        <w:spacing w:before="75" w:after="75" w:line="360" w:lineRule="auto"/>
        <w:rPr>
          <w:rFonts w:ascii="宋体" w:hAnsi="宋体"/>
          <w:color w:val="000000"/>
          <w:szCs w:val="21"/>
        </w:rPr>
      </w:pPr>
      <w:r>
        <w:rPr>
          <w:rFonts w:hint="eastAsia" w:ascii="宋体" w:hAnsi="宋体"/>
          <w:color w:val="000000"/>
          <w:szCs w:val="21"/>
        </w:rPr>
        <w:t>（500-100）万元×1.1%=4.4万元</w:t>
      </w:r>
    </w:p>
    <w:p>
      <w:pPr>
        <w:autoSpaceDN w:val="0"/>
        <w:spacing w:before="75" w:after="75" w:line="360" w:lineRule="auto"/>
        <w:rPr>
          <w:rFonts w:ascii="宋体" w:hAnsi="宋体"/>
          <w:color w:val="000000"/>
          <w:szCs w:val="21"/>
        </w:rPr>
      </w:pPr>
      <w:r>
        <w:rPr>
          <w:rFonts w:hint="eastAsia" w:ascii="宋体" w:hAnsi="宋体"/>
          <w:color w:val="000000"/>
          <w:szCs w:val="21"/>
        </w:rPr>
        <w:t xml:space="preserve"> 合计收费=1.5+4.4=5.9万元</w:t>
      </w:r>
    </w:p>
    <w:p>
      <w:pPr>
        <w:autoSpaceDN w:val="0"/>
        <w:spacing w:before="75" w:after="75" w:line="360" w:lineRule="exact"/>
        <w:rPr>
          <w:rFonts w:ascii="宋体" w:hAnsi="宋体"/>
          <w:color w:val="000000"/>
        </w:rPr>
      </w:pPr>
    </w:p>
    <w:p>
      <w:pPr>
        <w:autoSpaceDN w:val="0"/>
        <w:spacing w:before="75" w:after="75" w:line="360" w:lineRule="exact"/>
        <w:rPr>
          <w:rFonts w:ascii="宋体" w:hAnsi="宋体"/>
          <w:color w:val="000000"/>
        </w:rPr>
      </w:pPr>
    </w:p>
    <w:p>
      <w:pPr>
        <w:autoSpaceDN w:val="0"/>
        <w:spacing w:before="75" w:after="75" w:line="360" w:lineRule="exact"/>
        <w:rPr>
          <w:rFonts w:ascii="宋体" w:hAnsi="宋体"/>
          <w:color w:val="000000"/>
        </w:rPr>
      </w:pPr>
    </w:p>
    <w:p>
      <w:pPr>
        <w:autoSpaceDN w:val="0"/>
        <w:spacing w:before="75" w:after="75" w:line="360" w:lineRule="exact"/>
        <w:rPr>
          <w:rFonts w:ascii="宋体" w:hAnsi="宋体"/>
          <w:color w:val="000000"/>
        </w:rPr>
      </w:pPr>
    </w:p>
    <w:p>
      <w:pPr>
        <w:autoSpaceDN w:val="0"/>
        <w:spacing w:before="75" w:after="75" w:line="360" w:lineRule="exact"/>
        <w:rPr>
          <w:rFonts w:ascii="宋体" w:hAnsi="宋体"/>
          <w:color w:val="000000"/>
        </w:rPr>
      </w:pPr>
    </w:p>
    <w:p>
      <w:pPr>
        <w:autoSpaceDN w:val="0"/>
        <w:spacing w:before="75" w:after="75" w:line="360" w:lineRule="exact"/>
        <w:rPr>
          <w:rFonts w:ascii="宋体" w:hAnsi="宋体"/>
          <w:color w:val="000000"/>
        </w:rPr>
      </w:pPr>
    </w:p>
    <w:p>
      <w:pPr>
        <w:autoSpaceDN w:val="0"/>
        <w:spacing w:before="75" w:after="75" w:line="360" w:lineRule="exact"/>
        <w:rPr>
          <w:rFonts w:ascii="宋体" w:hAnsi="宋体"/>
          <w:color w:val="000000"/>
        </w:rPr>
      </w:pPr>
    </w:p>
    <w:p>
      <w:pPr>
        <w:autoSpaceDN w:val="0"/>
        <w:spacing w:before="75" w:after="75" w:line="360" w:lineRule="exact"/>
        <w:rPr>
          <w:rFonts w:ascii="宋体" w:hAnsi="宋体"/>
          <w:color w:val="000000"/>
        </w:rPr>
      </w:pPr>
    </w:p>
    <w:p>
      <w:pPr>
        <w:autoSpaceDN w:val="0"/>
        <w:spacing w:before="75" w:after="75" w:line="360" w:lineRule="exact"/>
        <w:rPr>
          <w:rFonts w:ascii="宋体" w:hAnsi="宋体"/>
          <w:color w:val="000000"/>
        </w:rPr>
      </w:pPr>
    </w:p>
    <w:p>
      <w:pPr>
        <w:autoSpaceDN w:val="0"/>
        <w:spacing w:before="75" w:after="75" w:line="360" w:lineRule="exact"/>
        <w:rPr>
          <w:rFonts w:ascii="宋体" w:hAnsi="宋体"/>
          <w:color w:val="000000"/>
        </w:rPr>
      </w:pPr>
    </w:p>
    <w:p>
      <w:pPr>
        <w:spacing w:line="360" w:lineRule="auto"/>
        <w:ind w:firstLine="420"/>
        <w:rPr>
          <w:rFonts w:ascii="宋体" w:hAnsi="宋体"/>
          <w:u w:val="single"/>
        </w:rPr>
      </w:pPr>
      <w:r>
        <w:rPr>
          <w:rFonts w:hint="eastAsia" w:ascii="宋体" w:hAnsi="宋体"/>
          <w:b/>
          <w:bCs/>
        </w:rPr>
        <w:t>附件一</w:t>
      </w:r>
    </w:p>
    <w:p>
      <w:pPr>
        <w:jc w:val="center"/>
        <w:rPr>
          <w:rFonts w:ascii="宋体" w:hAnsi="宋体"/>
        </w:rPr>
      </w:pPr>
      <w:r>
        <w:rPr>
          <w:rFonts w:hint="eastAsia" w:ascii="宋体" w:hAnsi="宋体"/>
        </w:rPr>
        <w:t>核查清单（格式）</w:t>
      </w:r>
    </w:p>
    <w:tbl>
      <w:tblPr>
        <w:tblStyle w:val="3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2"/>
        <w:gridCol w:w="3476"/>
        <w:gridCol w:w="2214"/>
        <w:gridCol w:w="22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2" w:type="dxa"/>
          </w:tcPr>
          <w:p>
            <w:pPr>
              <w:jc w:val="center"/>
              <w:rPr>
                <w:rFonts w:ascii="宋体" w:hAnsi="宋体"/>
              </w:rPr>
            </w:pPr>
            <w:r>
              <w:rPr>
                <w:rFonts w:hint="eastAsia" w:ascii="宋体" w:hAnsi="宋体"/>
              </w:rPr>
              <w:t>序号</w:t>
            </w:r>
          </w:p>
        </w:tc>
        <w:tc>
          <w:tcPr>
            <w:tcW w:w="3476" w:type="dxa"/>
          </w:tcPr>
          <w:p>
            <w:pPr>
              <w:jc w:val="center"/>
              <w:rPr>
                <w:rFonts w:ascii="宋体" w:hAnsi="宋体"/>
              </w:rPr>
            </w:pPr>
            <w:r>
              <w:rPr>
                <w:rFonts w:hint="eastAsia" w:ascii="宋体" w:hAnsi="宋体"/>
              </w:rPr>
              <w:t>名称</w:t>
            </w:r>
          </w:p>
        </w:tc>
        <w:tc>
          <w:tcPr>
            <w:tcW w:w="2214" w:type="dxa"/>
          </w:tcPr>
          <w:p>
            <w:pPr>
              <w:jc w:val="center"/>
              <w:rPr>
                <w:rFonts w:ascii="宋体" w:hAnsi="宋体"/>
              </w:rPr>
            </w:pPr>
            <w:r>
              <w:rPr>
                <w:rFonts w:hint="eastAsia" w:ascii="宋体" w:hAnsi="宋体"/>
              </w:rPr>
              <w:t>原件份数</w:t>
            </w:r>
          </w:p>
        </w:tc>
        <w:tc>
          <w:tcPr>
            <w:tcW w:w="2214" w:type="dxa"/>
          </w:tcPr>
          <w:p>
            <w:pPr>
              <w:jc w:val="center"/>
              <w:rPr>
                <w:rFonts w:ascii="宋体" w:hAnsi="宋体"/>
              </w:rPr>
            </w:pPr>
            <w:r>
              <w:rPr>
                <w:rFonts w:hint="eastAsia" w:ascii="宋体" w:hAnsi="宋体"/>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2" w:type="dxa"/>
          </w:tcPr>
          <w:p>
            <w:pPr>
              <w:jc w:val="center"/>
              <w:rPr>
                <w:rFonts w:ascii="宋体" w:hAnsi="宋体"/>
              </w:rPr>
            </w:pPr>
          </w:p>
        </w:tc>
        <w:tc>
          <w:tcPr>
            <w:tcW w:w="3476" w:type="dxa"/>
          </w:tcPr>
          <w:p>
            <w:pPr>
              <w:jc w:val="center"/>
              <w:rPr>
                <w:rFonts w:ascii="宋体" w:hAnsi="宋体"/>
              </w:rPr>
            </w:pPr>
          </w:p>
        </w:tc>
        <w:tc>
          <w:tcPr>
            <w:tcW w:w="2214" w:type="dxa"/>
          </w:tcPr>
          <w:p>
            <w:pPr>
              <w:jc w:val="center"/>
              <w:rPr>
                <w:rFonts w:ascii="宋体" w:hAnsi="宋体"/>
              </w:rPr>
            </w:pPr>
          </w:p>
        </w:tc>
        <w:tc>
          <w:tcPr>
            <w:tcW w:w="2214" w:type="dxa"/>
          </w:tcPr>
          <w:p>
            <w:pPr>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2" w:type="dxa"/>
          </w:tcPr>
          <w:p>
            <w:pPr>
              <w:jc w:val="center"/>
              <w:rPr>
                <w:rFonts w:ascii="宋体" w:hAnsi="宋体"/>
              </w:rPr>
            </w:pPr>
          </w:p>
        </w:tc>
        <w:tc>
          <w:tcPr>
            <w:tcW w:w="3476" w:type="dxa"/>
          </w:tcPr>
          <w:p>
            <w:pPr>
              <w:jc w:val="center"/>
              <w:rPr>
                <w:rFonts w:ascii="宋体" w:hAnsi="宋体"/>
              </w:rPr>
            </w:pPr>
          </w:p>
        </w:tc>
        <w:tc>
          <w:tcPr>
            <w:tcW w:w="2214" w:type="dxa"/>
          </w:tcPr>
          <w:p>
            <w:pPr>
              <w:jc w:val="center"/>
              <w:rPr>
                <w:rFonts w:ascii="宋体" w:hAnsi="宋体"/>
              </w:rPr>
            </w:pPr>
          </w:p>
        </w:tc>
        <w:tc>
          <w:tcPr>
            <w:tcW w:w="2214" w:type="dxa"/>
          </w:tcPr>
          <w:p>
            <w:pPr>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2" w:type="dxa"/>
          </w:tcPr>
          <w:p>
            <w:pPr>
              <w:jc w:val="center"/>
              <w:rPr>
                <w:rFonts w:ascii="宋体" w:hAnsi="宋体"/>
              </w:rPr>
            </w:pPr>
          </w:p>
        </w:tc>
        <w:tc>
          <w:tcPr>
            <w:tcW w:w="3476" w:type="dxa"/>
          </w:tcPr>
          <w:p>
            <w:pPr>
              <w:jc w:val="center"/>
              <w:rPr>
                <w:rFonts w:ascii="宋体" w:hAnsi="宋体"/>
              </w:rPr>
            </w:pPr>
          </w:p>
        </w:tc>
        <w:tc>
          <w:tcPr>
            <w:tcW w:w="2214" w:type="dxa"/>
          </w:tcPr>
          <w:p>
            <w:pPr>
              <w:jc w:val="center"/>
              <w:rPr>
                <w:rFonts w:ascii="宋体" w:hAnsi="宋体"/>
              </w:rPr>
            </w:pPr>
          </w:p>
        </w:tc>
        <w:tc>
          <w:tcPr>
            <w:tcW w:w="2214" w:type="dxa"/>
          </w:tcPr>
          <w:p>
            <w:pPr>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2" w:type="dxa"/>
          </w:tcPr>
          <w:p>
            <w:pPr>
              <w:jc w:val="center"/>
              <w:rPr>
                <w:rFonts w:ascii="宋体" w:hAnsi="宋体"/>
              </w:rPr>
            </w:pPr>
          </w:p>
        </w:tc>
        <w:tc>
          <w:tcPr>
            <w:tcW w:w="3476" w:type="dxa"/>
          </w:tcPr>
          <w:p>
            <w:pPr>
              <w:jc w:val="center"/>
              <w:rPr>
                <w:rFonts w:ascii="宋体" w:hAnsi="宋体"/>
              </w:rPr>
            </w:pPr>
          </w:p>
        </w:tc>
        <w:tc>
          <w:tcPr>
            <w:tcW w:w="2214" w:type="dxa"/>
          </w:tcPr>
          <w:p>
            <w:pPr>
              <w:jc w:val="center"/>
              <w:rPr>
                <w:rFonts w:ascii="宋体" w:hAnsi="宋体"/>
              </w:rPr>
            </w:pPr>
          </w:p>
        </w:tc>
        <w:tc>
          <w:tcPr>
            <w:tcW w:w="2214" w:type="dxa"/>
          </w:tcPr>
          <w:p>
            <w:pPr>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2" w:type="dxa"/>
          </w:tcPr>
          <w:p>
            <w:pPr>
              <w:jc w:val="center"/>
              <w:rPr>
                <w:rFonts w:ascii="宋体" w:hAnsi="宋体"/>
              </w:rPr>
            </w:pPr>
          </w:p>
        </w:tc>
        <w:tc>
          <w:tcPr>
            <w:tcW w:w="3476" w:type="dxa"/>
          </w:tcPr>
          <w:p>
            <w:pPr>
              <w:jc w:val="center"/>
              <w:rPr>
                <w:rFonts w:ascii="宋体" w:hAnsi="宋体"/>
              </w:rPr>
            </w:pPr>
          </w:p>
        </w:tc>
        <w:tc>
          <w:tcPr>
            <w:tcW w:w="2214" w:type="dxa"/>
          </w:tcPr>
          <w:p>
            <w:pPr>
              <w:jc w:val="center"/>
              <w:rPr>
                <w:rFonts w:ascii="宋体" w:hAnsi="宋体"/>
              </w:rPr>
            </w:pPr>
          </w:p>
        </w:tc>
        <w:tc>
          <w:tcPr>
            <w:tcW w:w="2214" w:type="dxa"/>
          </w:tcPr>
          <w:p>
            <w:pPr>
              <w:jc w:val="center"/>
              <w:rPr>
                <w:rFonts w:ascii="宋体" w:hAnsi="宋体"/>
              </w:rPr>
            </w:pPr>
          </w:p>
        </w:tc>
      </w:tr>
    </w:tbl>
    <w:p>
      <w:pPr>
        <w:jc w:val="center"/>
        <w:rPr>
          <w:rFonts w:ascii="宋体" w:hAnsi="宋体"/>
        </w:rPr>
      </w:pPr>
    </w:p>
    <w:p>
      <w:pPr>
        <w:spacing w:line="360" w:lineRule="auto"/>
        <w:ind w:left="443" w:hanging="424"/>
        <w:rPr>
          <w:rFonts w:ascii="宋体" w:hAnsi="宋体"/>
        </w:rPr>
      </w:pPr>
      <w:r>
        <w:rPr>
          <w:rFonts w:hint="eastAsia" w:ascii="宋体" w:hAnsi="宋体"/>
        </w:rPr>
        <w:t xml:space="preserve">                            投标人名称（全称并加盖公章）：</w:t>
      </w:r>
    </w:p>
    <w:p>
      <w:pPr>
        <w:spacing w:line="360" w:lineRule="auto"/>
        <w:ind w:left="443" w:hanging="424"/>
        <w:rPr>
          <w:rFonts w:ascii="宋体" w:hAnsi="宋体"/>
        </w:rPr>
      </w:pPr>
      <w:r>
        <w:rPr>
          <w:rFonts w:hint="eastAsia" w:ascii="宋体" w:hAnsi="宋体"/>
        </w:rPr>
        <w:t xml:space="preserve">                            法定代表人或其委托代理人（签字）：                    </w:t>
      </w:r>
    </w:p>
    <w:p>
      <w:pPr>
        <w:spacing w:line="360" w:lineRule="auto"/>
        <w:ind w:left="443" w:hanging="424"/>
        <w:rPr>
          <w:rFonts w:ascii="宋体" w:hAnsi="宋体"/>
        </w:rPr>
      </w:pPr>
      <w:r>
        <w:rPr>
          <w:rFonts w:hint="eastAsia" w:ascii="宋体" w:hAnsi="宋体"/>
        </w:rPr>
        <w:t xml:space="preserve">                            法定代表人或其委托代理人联系电话：</w:t>
      </w:r>
      <w:r>
        <w:rPr>
          <w:rFonts w:hint="eastAsia" w:ascii="宋体" w:hAnsi="宋体"/>
        </w:rPr>
        <w:br w:type="textWrapping"/>
      </w:r>
      <w:r>
        <w:rPr>
          <w:rFonts w:hint="eastAsia" w:ascii="宋体" w:hAnsi="宋体"/>
        </w:rPr>
        <w:t xml:space="preserve">                            日期：</w:t>
      </w:r>
    </w:p>
    <w:p>
      <w:pPr>
        <w:spacing w:line="360" w:lineRule="auto"/>
        <w:ind w:left="443" w:hanging="424"/>
        <w:rPr>
          <w:rFonts w:ascii="宋体" w:hAnsi="宋体"/>
        </w:rPr>
      </w:pPr>
      <w:r>
        <w:rPr>
          <w:rFonts w:hint="eastAsia" w:ascii="宋体" w:hAnsi="宋体"/>
        </w:rPr>
        <w:t>注：</w:t>
      </w:r>
    </w:p>
    <w:p>
      <w:pPr>
        <w:numPr>
          <w:ilvl w:val="2"/>
          <w:numId w:val="9"/>
        </w:numPr>
        <w:spacing w:line="360" w:lineRule="auto"/>
        <w:ind w:firstLine="480" w:firstLineChars="200"/>
        <w:rPr>
          <w:rFonts w:ascii="宋体" w:hAnsi="宋体"/>
        </w:rPr>
      </w:pPr>
      <w:r>
        <w:rPr>
          <w:rFonts w:hint="eastAsia" w:ascii="宋体" w:hAnsi="宋体"/>
        </w:rPr>
        <w:t>凡招标文件中要求提供原件</w:t>
      </w:r>
      <w:r>
        <w:rPr>
          <w:rFonts w:hint="eastAsia" w:ascii="宋体" w:hAnsi="宋体"/>
          <w:b/>
          <w:bCs/>
          <w:color w:val="0000FF"/>
        </w:rPr>
        <w:t>（除法定代表人身份证或其委托代理人身份证、授权委托书外）</w:t>
      </w:r>
      <w:r>
        <w:rPr>
          <w:rFonts w:hint="eastAsia" w:ascii="宋体" w:hAnsi="宋体"/>
        </w:rPr>
        <w:t>的材料均应列入该清单，本清单只列提供原件的材料。</w:t>
      </w:r>
    </w:p>
    <w:p>
      <w:pPr>
        <w:numPr>
          <w:ilvl w:val="2"/>
          <w:numId w:val="9"/>
        </w:numPr>
        <w:spacing w:line="360" w:lineRule="auto"/>
        <w:ind w:firstLine="480" w:firstLineChars="200"/>
        <w:rPr>
          <w:rFonts w:ascii="宋体" w:hAnsi="宋体"/>
        </w:rPr>
      </w:pPr>
      <w:r>
        <w:rPr>
          <w:rFonts w:hint="eastAsia" w:ascii="宋体" w:hAnsi="宋体"/>
        </w:rPr>
        <w:t>投标人在提交投标文件时，不得将本清单密封到投标文件中。</w:t>
      </w:r>
    </w:p>
    <w:p>
      <w:pPr>
        <w:numPr>
          <w:ilvl w:val="2"/>
          <w:numId w:val="9"/>
        </w:numPr>
        <w:spacing w:line="360" w:lineRule="auto"/>
        <w:ind w:firstLine="480" w:firstLineChars="200"/>
        <w:rPr>
          <w:rFonts w:ascii="宋体" w:hAnsi="宋体"/>
        </w:rPr>
      </w:pPr>
      <w:r>
        <w:rPr>
          <w:rFonts w:hint="eastAsia" w:ascii="宋体" w:hAnsi="宋体"/>
        </w:rPr>
        <w:t>本表仅为格式示例，不具约束性，投标人可以根据需要对此表进行填充扩展。</w:t>
      </w:r>
    </w:p>
    <w:p>
      <w:pPr>
        <w:pStyle w:val="2"/>
        <w:rPr>
          <w:rFonts w:ascii="宋体" w:hAnsi="宋体"/>
        </w:rPr>
      </w:pPr>
    </w:p>
    <w:p>
      <w:pPr>
        <w:pStyle w:val="2"/>
        <w:rPr>
          <w:rFonts w:ascii="宋体" w:hAnsi="宋体"/>
        </w:rPr>
      </w:pPr>
    </w:p>
    <w:p>
      <w:pPr>
        <w:pStyle w:val="2"/>
        <w:rPr>
          <w:rFonts w:ascii="宋体" w:hAnsi="宋体"/>
        </w:rPr>
      </w:pPr>
    </w:p>
    <w:p>
      <w:pPr>
        <w:pStyle w:val="2"/>
        <w:rPr>
          <w:rFonts w:ascii="宋体" w:hAnsi="宋体"/>
        </w:rPr>
      </w:pPr>
    </w:p>
    <w:p>
      <w:pPr>
        <w:pStyle w:val="2"/>
        <w:rPr>
          <w:rFonts w:ascii="宋体" w:hAnsi="宋体"/>
        </w:rPr>
      </w:pPr>
    </w:p>
    <w:p>
      <w:pPr>
        <w:pStyle w:val="2"/>
        <w:rPr>
          <w:rFonts w:ascii="宋体" w:hAnsi="宋体"/>
        </w:rPr>
      </w:pPr>
    </w:p>
    <w:p>
      <w:pPr>
        <w:pStyle w:val="2"/>
        <w:rPr>
          <w:rFonts w:ascii="宋体" w:hAnsi="宋体"/>
        </w:rPr>
      </w:pPr>
    </w:p>
    <w:p>
      <w:pPr>
        <w:pStyle w:val="2"/>
        <w:rPr>
          <w:rFonts w:ascii="宋体" w:hAnsi="宋体"/>
        </w:rPr>
      </w:pPr>
    </w:p>
    <w:p>
      <w:pPr>
        <w:pStyle w:val="2"/>
        <w:rPr>
          <w:rFonts w:ascii="宋体" w:hAnsi="宋体"/>
        </w:rPr>
      </w:pPr>
    </w:p>
    <w:p>
      <w:pPr>
        <w:pStyle w:val="2"/>
        <w:rPr>
          <w:rFonts w:ascii="宋体" w:hAnsi="宋体"/>
        </w:rPr>
      </w:pPr>
    </w:p>
    <w:p>
      <w:pPr>
        <w:pStyle w:val="2"/>
        <w:rPr>
          <w:rFonts w:ascii="宋体" w:hAnsi="宋体"/>
        </w:rPr>
      </w:pPr>
    </w:p>
    <w:p>
      <w:pPr>
        <w:pStyle w:val="4"/>
        <w:numPr>
          <w:ilvl w:val="3"/>
          <w:numId w:val="10"/>
        </w:numPr>
        <w:spacing w:line="440" w:lineRule="exact"/>
        <w:jc w:val="center"/>
        <w:rPr>
          <w:rFonts w:ascii="宋体" w:hAnsi="宋体" w:eastAsia="宋体" w:cs="宋体"/>
        </w:rPr>
      </w:pPr>
      <w:bookmarkStart w:id="4" w:name="_Toc477166571"/>
      <w:bookmarkStart w:id="5" w:name="_Toc17791"/>
      <w:bookmarkStart w:id="6" w:name="_Toc17444518"/>
      <w:r>
        <w:rPr>
          <w:rFonts w:hint="eastAsia" w:ascii="宋体" w:hAnsi="宋体" w:eastAsia="宋体" w:cs="宋体"/>
        </w:rPr>
        <w:t>总则</w:t>
      </w:r>
      <w:bookmarkEnd w:id="4"/>
      <w:bookmarkEnd w:id="5"/>
      <w:bookmarkEnd w:id="6"/>
    </w:p>
    <w:p>
      <w:pPr>
        <w:numPr>
          <w:ilvl w:val="1"/>
          <w:numId w:val="11"/>
        </w:numPr>
        <w:spacing w:line="440" w:lineRule="exact"/>
        <w:ind w:firstLine="482" w:firstLineChars="200"/>
        <w:rPr>
          <w:rFonts w:ascii="宋体" w:hAnsi="宋体"/>
          <w:b/>
          <w:bCs/>
          <w:szCs w:val="21"/>
        </w:rPr>
      </w:pPr>
      <w:r>
        <w:rPr>
          <w:rFonts w:hint="eastAsia" w:ascii="宋体" w:hAnsi="宋体"/>
          <w:b/>
          <w:bCs/>
          <w:szCs w:val="21"/>
        </w:rPr>
        <w:t>适用范围</w:t>
      </w:r>
    </w:p>
    <w:p>
      <w:pPr>
        <w:spacing w:line="440" w:lineRule="exact"/>
        <w:ind w:firstLine="420" w:firstLineChars="175"/>
        <w:rPr>
          <w:rFonts w:ascii="宋体" w:hAnsi="宋体"/>
          <w:szCs w:val="21"/>
        </w:rPr>
      </w:pPr>
      <w:r>
        <w:rPr>
          <w:rFonts w:hint="eastAsia" w:ascii="宋体" w:hAnsi="宋体"/>
          <w:szCs w:val="21"/>
        </w:rPr>
        <w:t>本招标文件仅适用于本招标文件第一章“招标公告”中所述的项目。</w:t>
      </w:r>
    </w:p>
    <w:p>
      <w:pPr>
        <w:numPr>
          <w:ilvl w:val="1"/>
          <w:numId w:val="11"/>
        </w:numPr>
        <w:spacing w:line="440" w:lineRule="exact"/>
        <w:ind w:firstLine="482" w:firstLineChars="200"/>
        <w:rPr>
          <w:rFonts w:ascii="宋体" w:hAnsi="宋体"/>
          <w:b/>
          <w:bCs/>
          <w:szCs w:val="21"/>
        </w:rPr>
      </w:pPr>
      <w:r>
        <w:rPr>
          <w:rFonts w:hint="eastAsia" w:ascii="宋体" w:hAnsi="宋体"/>
          <w:b/>
          <w:bCs/>
          <w:szCs w:val="21"/>
        </w:rPr>
        <w:t>定义</w:t>
      </w:r>
    </w:p>
    <w:p>
      <w:pPr>
        <w:numPr>
          <w:ilvl w:val="1"/>
          <w:numId w:val="12"/>
        </w:numPr>
        <w:spacing w:line="440" w:lineRule="exact"/>
        <w:ind w:firstLine="480" w:firstLineChars="200"/>
        <w:rPr>
          <w:rFonts w:ascii="宋体" w:hAnsi="宋体"/>
          <w:szCs w:val="21"/>
        </w:rPr>
      </w:pPr>
      <w:r>
        <w:rPr>
          <w:rFonts w:hint="eastAsia" w:ascii="宋体" w:hAnsi="宋体"/>
          <w:szCs w:val="21"/>
        </w:rPr>
        <w:t>“采购人” 见投标人须知前附表。</w:t>
      </w:r>
    </w:p>
    <w:p>
      <w:pPr>
        <w:numPr>
          <w:ilvl w:val="1"/>
          <w:numId w:val="12"/>
        </w:numPr>
        <w:spacing w:line="440" w:lineRule="exact"/>
        <w:ind w:firstLine="480" w:firstLineChars="200"/>
        <w:rPr>
          <w:rFonts w:ascii="宋体" w:hAnsi="宋体"/>
          <w:szCs w:val="21"/>
        </w:rPr>
      </w:pPr>
      <w:r>
        <w:rPr>
          <w:rFonts w:hint="eastAsia" w:ascii="宋体" w:hAnsi="宋体"/>
          <w:szCs w:val="21"/>
        </w:rPr>
        <w:t>“采购代理机构” 见投标人须知前附表。</w:t>
      </w:r>
    </w:p>
    <w:p>
      <w:pPr>
        <w:numPr>
          <w:ilvl w:val="1"/>
          <w:numId w:val="12"/>
        </w:numPr>
        <w:spacing w:line="440" w:lineRule="exact"/>
        <w:ind w:firstLine="480" w:firstLineChars="200"/>
        <w:rPr>
          <w:rFonts w:ascii="宋体" w:hAnsi="宋体"/>
          <w:szCs w:val="21"/>
        </w:rPr>
      </w:pPr>
      <w:r>
        <w:rPr>
          <w:rFonts w:hint="eastAsia" w:ascii="宋体" w:hAnsi="宋体"/>
          <w:szCs w:val="21"/>
        </w:rPr>
        <w:t>“投标人”</w:t>
      </w:r>
      <w:r>
        <w:rPr>
          <w:rFonts w:hint="eastAsia" w:ascii="宋体" w:hAnsi="宋体"/>
          <w:color w:val="000000"/>
          <w:szCs w:val="21"/>
          <w:shd w:val="clear" w:color="auto" w:fill="FFFFFF"/>
        </w:rPr>
        <w:t>是指响应招标、参加投标竞争的法人、其他组织或者自然人</w:t>
      </w:r>
      <w:r>
        <w:rPr>
          <w:rFonts w:hint="eastAsia" w:ascii="宋体" w:hAnsi="宋体"/>
          <w:szCs w:val="21"/>
        </w:rPr>
        <w:t>。</w:t>
      </w:r>
    </w:p>
    <w:p>
      <w:pPr>
        <w:numPr>
          <w:ilvl w:val="1"/>
          <w:numId w:val="12"/>
        </w:numPr>
        <w:spacing w:line="440" w:lineRule="exact"/>
        <w:ind w:firstLine="480" w:firstLineChars="200"/>
        <w:rPr>
          <w:rFonts w:ascii="宋体" w:hAnsi="宋体"/>
          <w:szCs w:val="21"/>
        </w:rPr>
      </w:pPr>
      <w:r>
        <w:rPr>
          <w:rFonts w:hint="eastAsia" w:ascii="宋体" w:hAnsi="宋体"/>
          <w:szCs w:val="21"/>
        </w:rPr>
        <w:t>“潜在投标人”指符合本招标文件各项规定的合格供应商。</w:t>
      </w:r>
    </w:p>
    <w:p>
      <w:pPr>
        <w:numPr>
          <w:ilvl w:val="1"/>
          <w:numId w:val="12"/>
        </w:numPr>
        <w:spacing w:line="440" w:lineRule="exact"/>
        <w:ind w:firstLine="480" w:firstLineChars="200"/>
        <w:rPr>
          <w:rFonts w:ascii="宋体" w:hAnsi="宋体"/>
          <w:szCs w:val="21"/>
        </w:rPr>
      </w:pPr>
      <w:r>
        <w:rPr>
          <w:rFonts w:hint="eastAsia" w:ascii="宋体" w:hAnsi="宋体"/>
          <w:szCs w:val="21"/>
        </w:rPr>
        <w:t>“中标人”是指依据本招标文件规定经评审被最终授予合同的投标人。</w:t>
      </w:r>
    </w:p>
    <w:p>
      <w:pPr>
        <w:numPr>
          <w:ilvl w:val="1"/>
          <w:numId w:val="12"/>
        </w:numPr>
        <w:spacing w:line="440" w:lineRule="exact"/>
        <w:ind w:firstLine="480" w:firstLineChars="200"/>
        <w:rPr>
          <w:rFonts w:ascii="宋体" w:hAnsi="宋体"/>
          <w:szCs w:val="21"/>
        </w:rPr>
      </w:pPr>
      <w:r>
        <w:rPr>
          <w:rFonts w:hint="eastAsia" w:ascii="宋体" w:hAnsi="宋体"/>
          <w:szCs w:val="21"/>
        </w:rPr>
        <w:t>“质量保证期”在此期限内因设备质量问题均由投标人免费维修或更换，采购人不因此承担任何费用。</w:t>
      </w:r>
    </w:p>
    <w:p>
      <w:pPr>
        <w:numPr>
          <w:ilvl w:val="1"/>
          <w:numId w:val="12"/>
        </w:numPr>
        <w:spacing w:line="440" w:lineRule="exact"/>
        <w:ind w:firstLine="480" w:firstLineChars="200"/>
        <w:rPr>
          <w:rFonts w:ascii="宋体" w:hAnsi="宋体"/>
          <w:szCs w:val="21"/>
        </w:rPr>
      </w:pPr>
      <w:r>
        <w:rPr>
          <w:rFonts w:hint="eastAsia" w:ascii="宋体" w:hAnsi="宋体"/>
          <w:szCs w:val="21"/>
        </w:rPr>
        <w:t>“设立登记证书”是指</w:t>
      </w:r>
      <w:r>
        <w:fldChar w:fldCharType="begin"/>
      </w:r>
      <w:r>
        <w:instrText xml:space="preserve"> HYPERLINK "https://baike.baidu.com/item/%E5%B7%A5%E5%95%86%E8%A1%8C%E6%94%BF%E7%AE%A1%E7%90%86%E6%9C%BA%E5%85%B3/2954967" \t "https://baike.baidu.com/item/%E8%90%A5%E4%B8%9A%E6%89%A7%E7%85%A7/_blank" </w:instrText>
      </w:r>
      <w:r>
        <w:fldChar w:fldCharType="separate"/>
      </w:r>
      <w:r>
        <w:rPr>
          <w:rFonts w:hint="eastAsia" w:ascii="宋体" w:hAnsi="宋体"/>
          <w:szCs w:val="21"/>
        </w:rPr>
        <w:t>工商行政管理机关</w:t>
      </w:r>
      <w:r>
        <w:rPr>
          <w:rFonts w:hint="eastAsia" w:ascii="宋体" w:hAnsi="宋体"/>
          <w:szCs w:val="21"/>
        </w:rPr>
        <w:fldChar w:fldCharType="end"/>
      </w:r>
      <w:r>
        <w:rPr>
          <w:rFonts w:hint="eastAsia" w:ascii="宋体" w:hAnsi="宋体"/>
          <w:szCs w:val="21"/>
        </w:rPr>
        <w:t>或市场监督管理部门颁发的营业执照，或民政部门颁发的民办非企业单位登记证书，或司法行政机关颁发的律师事务所执业许可证等凭证；</w:t>
      </w:r>
    </w:p>
    <w:p>
      <w:pPr>
        <w:numPr>
          <w:ilvl w:val="1"/>
          <w:numId w:val="12"/>
        </w:numPr>
        <w:spacing w:line="440" w:lineRule="exact"/>
        <w:ind w:firstLine="480" w:firstLineChars="200"/>
        <w:rPr>
          <w:rFonts w:ascii="宋体" w:hAnsi="宋体"/>
          <w:szCs w:val="21"/>
        </w:rPr>
      </w:pPr>
      <w:r>
        <w:rPr>
          <w:rFonts w:hint="eastAsia" w:ascii="宋体" w:hAnsi="宋体"/>
          <w:szCs w:val="21"/>
        </w:rPr>
        <w:t>“法定代表人”系指法人单位（企业）法人营业执照或登记证书等凭证上注明的法定代表人；如为其他组织或个体经营者参加投标的，指营业执照或登记证书等凭证上注明的负责人或经营者。</w:t>
      </w:r>
    </w:p>
    <w:p>
      <w:pPr>
        <w:numPr>
          <w:ilvl w:val="1"/>
          <w:numId w:val="12"/>
        </w:numPr>
        <w:spacing w:line="440" w:lineRule="exact"/>
        <w:ind w:firstLine="480" w:firstLineChars="200"/>
        <w:rPr>
          <w:rFonts w:ascii="宋体" w:hAnsi="宋体"/>
          <w:szCs w:val="21"/>
        </w:rPr>
      </w:pPr>
      <w:r>
        <w:rPr>
          <w:rFonts w:hint="eastAsia" w:ascii="宋体" w:hAnsi="宋体"/>
          <w:szCs w:val="21"/>
        </w:rPr>
        <w:t>“重大违法行为”系指投标人因违法经营受到刑事处罚或者责令停业停产、吊销许可证或者执照、较大数额罚款等行政处罚。</w:t>
      </w:r>
    </w:p>
    <w:p>
      <w:pPr>
        <w:numPr>
          <w:ilvl w:val="1"/>
          <w:numId w:val="12"/>
        </w:numPr>
        <w:spacing w:line="440" w:lineRule="exact"/>
        <w:ind w:firstLine="480" w:firstLineChars="200"/>
        <w:rPr>
          <w:rFonts w:ascii="宋体" w:hAnsi="宋体"/>
          <w:szCs w:val="21"/>
        </w:rPr>
      </w:pPr>
      <w:r>
        <w:rPr>
          <w:rFonts w:hint="eastAsia" w:ascii="宋体" w:hAnsi="宋体"/>
          <w:szCs w:val="21"/>
        </w:rPr>
        <w:t>“原公告发布媒体”是指《中国招标投标公共服务平台》、《河南省政府采购网》、《河南省电子招标投标公共服务平台》、《河南省公共资源交易公共服务平台》、《焦作市公共资源交易中心网》、《武陟县公共资源交易中心网》。</w:t>
      </w:r>
    </w:p>
    <w:p>
      <w:pPr>
        <w:numPr>
          <w:ilvl w:val="1"/>
          <w:numId w:val="12"/>
        </w:numPr>
        <w:spacing w:line="440" w:lineRule="exact"/>
        <w:ind w:firstLine="482" w:firstLineChars="200"/>
        <w:rPr>
          <w:rFonts w:ascii="宋体" w:hAnsi="宋体"/>
          <w:b/>
          <w:szCs w:val="21"/>
        </w:rPr>
      </w:pPr>
      <w:r>
        <w:rPr>
          <w:rFonts w:hint="eastAsia" w:ascii="宋体" w:hAnsi="宋体"/>
          <w:b/>
          <w:szCs w:val="21"/>
        </w:rPr>
        <w:t>通知</w:t>
      </w:r>
      <w:r>
        <w:rPr>
          <w:rFonts w:hint="eastAsia" w:ascii="宋体" w:hAnsi="宋体"/>
          <w:b/>
        </w:rPr>
        <w:t xml:space="preserve">：因焦作市公共资源交易中心会员系统在开标前具有保密性，投标人在投标文件递交截止时间前须自行查看项目进展、变更通知、澄清及回复等，因投标人未及时查看而造成的后果自负 </w:t>
      </w:r>
      <w:r>
        <w:rPr>
          <w:rFonts w:hint="eastAsia" w:ascii="宋体" w:hAnsi="宋体"/>
          <w:b/>
          <w:szCs w:val="21"/>
        </w:rPr>
        <w:t>，采购人、采购代理机构不因此承担任何责任。</w:t>
      </w:r>
    </w:p>
    <w:p>
      <w:pPr>
        <w:spacing w:line="440" w:lineRule="exact"/>
        <w:ind w:firstLine="420" w:firstLineChars="175"/>
        <w:jc w:val="left"/>
        <w:rPr>
          <w:rFonts w:ascii="宋体" w:hAnsi="宋体"/>
          <w:bCs/>
          <w:szCs w:val="21"/>
        </w:rPr>
      </w:pPr>
      <w:r>
        <w:rPr>
          <w:rFonts w:hint="eastAsia" w:ascii="宋体" w:hAnsi="宋体"/>
          <w:bCs/>
          <w:szCs w:val="21"/>
        </w:rPr>
        <w:t>对与本项目有关的通知（包括澄清、修改、补充等），采购代理机构将在原公告发布媒体上以书面形式向投标人发出，各投标人应当时刻关注原公告发布媒体所发出关于本项目的相关通知。</w:t>
      </w:r>
    </w:p>
    <w:p>
      <w:pPr>
        <w:numPr>
          <w:ilvl w:val="1"/>
          <w:numId w:val="12"/>
        </w:numPr>
        <w:spacing w:line="440" w:lineRule="exact"/>
        <w:ind w:firstLine="482" w:firstLineChars="200"/>
        <w:rPr>
          <w:rFonts w:ascii="宋体" w:hAnsi="宋体"/>
          <w:b/>
          <w:szCs w:val="21"/>
        </w:rPr>
      </w:pPr>
      <w:r>
        <w:rPr>
          <w:rFonts w:hint="eastAsia" w:ascii="宋体" w:hAnsi="宋体"/>
          <w:b/>
          <w:szCs w:val="21"/>
        </w:rPr>
        <w:t>本项目招标文件中要求“加盖生产厂家公章”或“制造商”等是指不同投标人参加同一合同项下投标的，提供同一生产厂家同一资料的，如其中有一家投标人提供加盖生产厂家公章资料，其余投标人提供资料未加盖生产厂家公章，均予以认可，如出现内容不一致的以加盖生产厂家公章的为准；不同投标人提供同一生产厂家同一资料均未加盖生产厂家公章的，均不予认可。</w:t>
      </w:r>
    </w:p>
    <w:p>
      <w:pPr>
        <w:numPr>
          <w:ilvl w:val="1"/>
          <w:numId w:val="11"/>
        </w:numPr>
        <w:spacing w:line="440" w:lineRule="exact"/>
        <w:ind w:firstLine="482" w:firstLineChars="200"/>
        <w:rPr>
          <w:rFonts w:ascii="宋体" w:hAnsi="宋体"/>
          <w:b/>
          <w:bCs/>
          <w:szCs w:val="21"/>
        </w:rPr>
      </w:pPr>
      <w:r>
        <w:rPr>
          <w:rFonts w:hint="eastAsia" w:ascii="宋体" w:hAnsi="宋体"/>
          <w:b/>
          <w:bCs/>
          <w:szCs w:val="21"/>
        </w:rPr>
        <w:t>合格的投标人</w:t>
      </w:r>
    </w:p>
    <w:p>
      <w:pPr>
        <w:numPr>
          <w:ilvl w:val="1"/>
          <w:numId w:val="13"/>
        </w:numPr>
        <w:spacing w:line="440" w:lineRule="exact"/>
        <w:ind w:firstLine="480" w:firstLineChars="200"/>
        <w:rPr>
          <w:rFonts w:ascii="宋体" w:hAnsi="宋体"/>
          <w:bCs/>
          <w:szCs w:val="21"/>
        </w:rPr>
      </w:pPr>
      <w:r>
        <w:rPr>
          <w:rFonts w:hint="eastAsia" w:ascii="宋体" w:hAnsi="宋体"/>
          <w:bCs/>
          <w:szCs w:val="21"/>
        </w:rPr>
        <w:t>符合《中华人民共和国政府采购法》第二十二条规定的条件。</w:t>
      </w:r>
    </w:p>
    <w:p>
      <w:pPr>
        <w:numPr>
          <w:ilvl w:val="1"/>
          <w:numId w:val="13"/>
        </w:numPr>
        <w:spacing w:line="440" w:lineRule="exact"/>
        <w:ind w:firstLine="480" w:firstLineChars="200"/>
        <w:rPr>
          <w:rFonts w:ascii="宋体" w:hAnsi="宋体"/>
          <w:bCs/>
          <w:szCs w:val="21"/>
        </w:rPr>
      </w:pPr>
      <w:r>
        <w:rPr>
          <w:rFonts w:hint="eastAsia" w:ascii="宋体" w:hAnsi="宋体"/>
          <w:bCs/>
          <w:szCs w:val="21"/>
        </w:rPr>
        <w:t>符合本招标文件规定的资格要求及项目要求的其它条件，并按照要求提供相关证明材料。</w:t>
      </w:r>
    </w:p>
    <w:p>
      <w:pPr>
        <w:numPr>
          <w:ilvl w:val="1"/>
          <w:numId w:val="13"/>
        </w:numPr>
        <w:spacing w:line="440" w:lineRule="exact"/>
        <w:ind w:firstLine="480" w:firstLineChars="200"/>
        <w:rPr>
          <w:rFonts w:ascii="宋体" w:hAnsi="宋体"/>
          <w:bCs/>
          <w:szCs w:val="21"/>
        </w:rPr>
      </w:pPr>
      <w:r>
        <w:rPr>
          <w:rFonts w:hint="eastAsia" w:ascii="宋体" w:hAnsi="宋体"/>
          <w:bCs/>
          <w:szCs w:val="21"/>
        </w:rPr>
        <w:t xml:space="preserve"> 投标人应遵守国家法律、法规和有关政府采购招标的规定。</w:t>
      </w:r>
    </w:p>
    <w:p>
      <w:pPr>
        <w:numPr>
          <w:ilvl w:val="1"/>
          <w:numId w:val="13"/>
        </w:numPr>
        <w:spacing w:line="440" w:lineRule="exact"/>
        <w:ind w:firstLine="480" w:firstLineChars="200"/>
        <w:rPr>
          <w:rFonts w:ascii="宋体" w:hAnsi="宋体"/>
          <w:bCs/>
          <w:szCs w:val="21"/>
        </w:rPr>
      </w:pPr>
      <w:r>
        <w:rPr>
          <w:rFonts w:hint="eastAsia" w:ascii="宋体" w:hAnsi="宋体"/>
          <w:bCs/>
          <w:szCs w:val="21"/>
        </w:rPr>
        <w:t>已按招标公告要求获取招标文件的。</w:t>
      </w:r>
    </w:p>
    <w:p>
      <w:pPr>
        <w:numPr>
          <w:ilvl w:val="1"/>
          <w:numId w:val="13"/>
        </w:numPr>
        <w:spacing w:line="440" w:lineRule="exact"/>
        <w:ind w:firstLine="482" w:firstLineChars="200"/>
        <w:rPr>
          <w:rFonts w:ascii="宋体" w:hAnsi="宋体"/>
          <w:b/>
          <w:bCs/>
          <w:szCs w:val="21"/>
        </w:rPr>
      </w:pPr>
      <w:r>
        <w:rPr>
          <w:rFonts w:hint="eastAsia" w:ascii="宋体" w:hAnsi="宋体"/>
          <w:b/>
          <w:szCs w:val="21"/>
        </w:rPr>
        <w:t>按照《财政部关于在政府采购活动中查询及使用信用记录有关问题的通知》（财库〔2016〕125号）和《企业信息公示暂行条例》的要求，根据投标文件提交截止时间当日查询“信用中国”、“中国政府采购网”、“国家市场监督管理总局”网站的信息，采购人或者代理机构应当对投标人信用记录进行甄别，对列入失信被执行人（以“信用中国”网站为准）、重大税收违法案件当事人名单（以“信用中国”网站为准）、政府采购严重违法失信行为记录名单（以“中国政府采购网”为准）、经营异常名录（以“国家市场监督管理总局”网站为准）或者严重违法失信企业名单（以“国家市场监督管理总局”网站为准）的供应商，拒绝参与政府采购活动，同时对信用信息查询记录和证据进行打印存档；查询渠道：“信用中国”网站、“中国政府采购网”和“国家市场监督管理总局”网站。</w:t>
      </w:r>
    </w:p>
    <w:p>
      <w:pPr>
        <w:spacing w:line="440" w:lineRule="exact"/>
        <w:ind w:firstLine="422" w:firstLineChars="175"/>
        <w:rPr>
          <w:rFonts w:ascii="宋体" w:hAnsi="宋体"/>
          <w:b/>
          <w:szCs w:val="21"/>
        </w:rPr>
      </w:pPr>
      <w:r>
        <w:rPr>
          <w:rFonts w:hint="eastAsia" w:ascii="宋体" w:hAnsi="宋体"/>
          <w:b/>
          <w:szCs w:val="21"/>
        </w:rPr>
        <w:t>两个以上的自然人、法人或者其他组织组成一个联合体，以一个投标人的身份共同参加政府采购活动的，应当对所有联合体成员进行信用记录查询，联合体成员存在不良信用记录的，视同联合体存在不良信用记录。</w:t>
      </w:r>
    </w:p>
    <w:p>
      <w:pPr>
        <w:spacing w:line="440" w:lineRule="exact"/>
        <w:ind w:firstLine="422" w:firstLineChars="175"/>
        <w:rPr>
          <w:rFonts w:ascii="宋体" w:hAnsi="宋体"/>
          <w:b/>
          <w:szCs w:val="21"/>
        </w:rPr>
      </w:pPr>
      <w:r>
        <w:rPr>
          <w:rFonts w:hint="eastAsia" w:ascii="宋体" w:hAnsi="宋体"/>
          <w:b/>
          <w:szCs w:val="21"/>
        </w:rPr>
        <w:t>查询截止时间：投标文件提交截止时间当日。采购人、采购代理机构同时对信用信息查询记录和证据进行打印存档备查；投标人不良信用记录以采购人查询结果为准，采购人查询之后，网站信息发生的任何变更均不再作为评审依据，投标人自行提供的与网站信息不一致的其他证明材料亦不作为评审依据。</w:t>
      </w:r>
    </w:p>
    <w:p>
      <w:pPr>
        <w:numPr>
          <w:ilvl w:val="1"/>
          <w:numId w:val="13"/>
        </w:numPr>
        <w:spacing w:line="440" w:lineRule="exact"/>
        <w:ind w:firstLine="480" w:firstLineChars="200"/>
        <w:rPr>
          <w:rFonts w:ascii="宋体" w:hAnsi="宋体"/>
          <w:bCs/>
          <w:szCs w:val="21"/>
        </w:rPr>
      </w:pPr>
      <w:r>
        <w:rPr>
          <w:rFonts w:hint="eastAsia" w:ascii="宋体" w:hAnsi="宋体"/>
          <w:bCs/>
          <w:szCs w:val="21"/>
        </w:rPr>
        <w:t>单位负责人为同一人或者存在直接控股、管理关系的不同供应商，不得参加同一合同项下的政府采购活动。</w:t>
      </w:r>
    </w:p>
    <w:p>
      <w:pPr>
        <w:numPr>
          <w:ilvl w:val="1"/>
          <w:numId w:val="11"/>
        </w:numPr>
        <w:spacing w:line="440" w:lineRule="exact"/>
        <w:ind w:firstLine="482" w:firstLineChars="200"/>
        <w:rPr>
          <w:rFonts w:ascii="宋体" w:hAnsi="宋体"/>
          <w:b/>
          <w:bCs/>
          <w:szCs w:val="21"/>
        </w:rPr>
      </w:pPr>
      <w:r>
        <w:rPr>
          <w:rFonts w:hint="eastAsia" w:ascii="宋体" w:hAnsi="宋体"/>
          <w:b/>
          <w:bCs/>
          <w:szCs w:val="21"/>
        </w:rPr>
        <w:t>投标费用</w:t>
      </w:r>
    </w:p>
    <w:p>
      <w:pPr>
        <w:spacing w:line="440" w:lineRule="exact"/>
        <w:ind w:firstLine="420" w:firstLineChars="175"/>
        <w:rPr>
          <w:rFonts w:ascii="宋体" w:hAnsi="宋体"/>
          <w:sz w:val="28"/>
          <w:szCs w:val="28"/>
        </w:rPr>
      </w:pPr>
      <w:r>
        <w:rPr>
          <w:rFonts w:hint="eastAsia" w:ascii="宋体" w:hAnsi="宋体"/>
          <w:szCs w:val="21"/>
        </w:rPr>
        <w:t>投标人应承担所有与准备和参加投标有关的费用。不论投标结果如何，采购代理机构、采购人均无义务和责任承担这些费用；</w:t>
      </w:r>
    </w:p>
    <w:p>
      <w:pPr>
        <w:pStyle w:val="4"/>
        <w:numPr>
          <w:ilvl w:val="3"/>
          <w:numId w:val="10"/>
        </w:numPr>
        <w:spacing w:line="440" w:lineRule="exact"/>
        <w:jc w:val="center"/>
        <w:rPr>
          <w:rFonts w:ascii="宋体" w:hAnsi="宋体" w:eastAsia="宋体" w:cs="宋体"/>
        </w:rPr>
      </w:pPr>
      <w:bookmarkStart w:id="7" w:name="_Toc14871"/>
      <w:bookmarkStart w:id="8" w:name="_Toc477166572"/>
      <w:bookmarkStart w:id="9" w:name="_Toc7468"/>
      <w:bookmarkStart w:id="10" w:name="_Toc17444519"/>
      <w:r>
        <w:rPr>
          <w:rFonts w:hint="eastAsia" w:ascii="宋体" w:hAnsi="宋体" w:eastAsia="宋体" w:cs="宋体"/>
        </w:rPr>
        <w:t>招标文件</w:t>
      </w:r>
      <w:bookmarkEnd w:id="7"/>
      <w:bookmarkEnd w:id="8"/>
      <w:bookmarkEnd w:id="9"/>
      <w:bookmarkEnd w:id="10"/>
    </w:p>
    <w:p>
      <w:pPr>
        <w:numPr>
          <w:ilvl w:val="1"/>
          <w:numId w:val="11"/>
        </w:numPr>
        <w:spacing w:line="440" w:lineRule="exact"/>
        <w:ind w:firstLine="482" w:firstLineChars="200"/>
        <w:rPr>
          <w:rFonts w:ascii="宋体" w:hAnsi="宋体"/>
          <w:b/>
          <w:bCs/>
          <w:szCs w:val="21"/>
        </w:rPr>
      </w:pPr>
      <w:r>
        <w:rPr>
          <w:rFonts w:hint="eastAsia" w:ascii="宋体" w:hAnsi="宋体"/>
          <w:b/>
          <w:bCs/>
          <w:szCs w:val="21"/>
        </w:rPr>
        <w:t>招标文件的组成</w:t>
      </w:r>
    </w:p>
    <w:p>
      <w:pPr>
        <w:numPr>
          <w:ilvl w:val="1"/>
          <w:numId w:val="14"/>
        </w:numPr>
        <w:spacing w:line="440" w:lineRule="exact"/>
        <w:ind w:firstLine="480" w:firstLineChars="200"/>
        <w:rPr>
          <w:rFonts w:ascii="宋体" w:hAnsi="宋体"/>
          <w:szCs w:val="21"/>
        </w:rPr>
      </w:pPr>
      <w:r>
        <w:rPr>
          <w:rFonts w:hint="eastAsia" w:ascii="宋体" w:hAnsi="宋体"/>
          <w:szCs w:val="21"/>
        </w:rPr>
        <w:t>招标文件是用以阐明采购内容及其他要求、招标程序</w:t>
      </w:r>
      <w:r>
        <w:rPr>
          <w:rFonts w:hint="eastAsia" w:ascii="宋体" w:hAnsi="宋体"/>
          <w:szCs w:val="21"/>
          <w:lang w:val="zh-CN"/>
        </w:rPr>
        <w:t>和合同格式等内容的规范性文件</w:t>
      </w:r>
      <w:r>
        <w:rPr>
          <w:rFonts w:hint="eastAsia" w:ascii="宋体" w:hAnsi="宋体"/>
          <w:szCs w:val="21"/>
        </w:rPr>
        <w:t>。招标文件主要由以下部分组成：</w:t>
      </w:r>
    </w:p>
    <w:p>
      <w:pPr>
        <w:spacing w:line="440" w:lineRule="exact"/>
        <w:ind w:firstLine="480" w:firstLineChars="200"/>
        <w:rPr>
          <w:rFonts w:ascii="宋体" w:hAnsi="宋体"/>
          <w:szCs w:val="21"/>
        </w:rPr>
      </w:pPr>
      <w:r>
        <w:rPr>
          <w:rFonts w:hint="eastAsia" w:ascii="宋体" w:hAnsi="宋体"/>
          <w:szCs w:val="21"/>
        </w:rPr>
        <w:t>第一章 招标公告</w:t>
      </w:r>
    </w:p>
    <w:p>
      <w:pPr>
        <w:spacing w:line="440" w:lineRule="exact"/>
        <w:ind w:firstLine="480" w:firstLineChars="200"/>
        <w:rPr>
          <w:rFonts w:ascii="宋体" w:hAnsi="宋体"/>
          <w:szCs w:val="21"/>
        </w:rPr>
      </w:pPr>
      <w:r>
        <w:rPr>
          <w:rFonts w:hint="eastAsia" w:ascii="宋体" w:hAnsi="宋体"/>
          <w:szCs w:val="21"/>
        </w:rPr>
        <w:t>第二章 投标人须知</w:t>
      </w:r>
    </w:p>
    <w:p>
      <w:pPr>
        <w:spacing w:line="440" w:lineRule="exact"/>
        <w:ind w:firstLine="480" w:firstLineChars="200"/>
        <w:rPr>
          <w:rFonts w:ascii="宋体" w:hAnsi="宋体"/>
          <w:szCs w:val="21"/>
        </w:rPr>
      </w:pPr>
      <w:r>
        <w:rPr>
          <w:rFonts w:hint="eastAsia" w:ascii="宋体" w:hAnsi="宋体"/>
          <w:szCs w:val="21"/>
        </w:rPr>
        <w:t>第三章 拟签订合同文本</w:t>
      </w:r>
    </w:p>
    <w:p>
      <w:pPr>
        <w:spacing w:line="440" w:lineRule="exact"/>
        <w:ind w:firstLine="480" w:firstLineChars="200"/>
        <w:rPr>
          <w:rFonts w:ascii="宋体" w:hAnsi="宋体"/>
          <w:szCs w:val="21"/>
        </w:rPr>
      </w:pPr>
      <w:r>
        <w:rPr>
          <w:rFonts w:hint="eastAsia" w:ascii="宋体" w:hAnsi="宋体"/>
          <w:szCs w:val="21"/>
        </w:rPr>
        <w:t>第四章 采购需求</w:t>
      </w:r>
    </w:p>
    <w:p>
      <w:pPr>
        <w:spacing w:line="440" w:lineRule="exact"/>
        <w:ind w:firstLine="480" w:firstLineChars="200"/>
        <w:rPr>
          <w:rFonts w:ascii="宋体" w:hAnsi="宋体"/>
          <w:szCs w:val="21"/>
        </w:rPr>
      </w:pPr>
      <w:r>
        <w:rPr>
          <w:rFonts w:hint="eastAsia" w:ascii="宋体" w:hAnsi="宋体"/>
          <w:szCs w:val="21"/>
        </w:rPr>
        <w:t>第五章 投标文件资格证明文件格式</w:t>
      </w:r>
    </w:p>
    <w:p>
      <w:pPr>
        <w:spacing w:line="440" w:lineRule="exact"/>
        <w:ind w:firstLine="480" w:firstLineChars="200"/>
        <w:rPr>
          <w:rFonts w:ascii="宋体" w:hAnsi="宋体"/>
          <w:szCs w:val="21"/>
        </w:rPr>
      </w:pPr>
      <w:r>
        <w:rPr>
          <w:rFonts w:hint="eastAsia" w:ascii="宋体" w:hAnsi="宋体"/>
          <w:szCs w:val="21"/>
        </w:rPr>
        <w:t xml:space="preserve">第六章 投标文件商务、技术证明文件格式 </w:t>
      </w:r>
    </w:p>
    <w:p>
      <w:pPr>
        <w:spacing w:line="440" w:lineRule="exact"/>
        <w:ind w:firstLine="480" w:firstLineChars="200"/>
        <w:rPr>
          <w:rFonts w:ascii="宋体" w:hAnsi="宋体"/>
          <w:szCs w:val="21"/>
        </w:rPr>
      </w:pPr>
      <w:r>
        <w:rPr>
          <w:rFonts w:hint="eastAsia" w:ascii="宋体" w:hAnsi="宋体"/>
          <w:szCs w:val="21"/>
        </w:rPr>
        <w:t>第七章 评标办法和评标标准</w:t>
      </w:r>
    </w:p>
    <w:p>
      <w:pPr>
        <w:spacing w:line="440" w:lineRule="exact"/>
        <w:ind w:firstLine="480" w:firstLineChars="200"/>
        <w:rPr>
          <w:rFonts w:ascii="宋体" w:hAnsi="宋体"/>
          <w:szCs w:val="21"/>
        </w:rPr>
      </w:pPr>
      <w:r>
        <w:rPr>
          <w:rFonts w:hint="eastAsia" w:ascii="宋体" w:hAnsi="宋体"/>
          <w:szCs w:val="21"/>
        </w:rPr>
        <w:t>根据本招标文件所作的澄清、修改或更正，构成招标文件的组成部分。</w:t>
      </w:r>
    </w:p>
    <w:p>
      <w:pPr>
        <w:numPr>
          <w:ilvl w:val="1"/>
          <w:numId w:val="14"/>
        </w:numPr>
        <w:spacing w:line="440" w:lineRule="exact"/>
        <w:ind w:firstLine="480" w:firstLineChars="200"/>
        <w:rPr>
          <w:rFonts w:ascii="宋体" w:hAnsi="宋体"/>
          <w:bCs/>
          <w:szCs w:val="21"/>
        </w:rPr>
      </w:pPr>
      <w:r>
        <w:rPr>
          <w:rFonts w:hint="eastAsia" w:ascii="宋体" w:hAnsi="宋体"/>
          <w:szCs w:val="21"/>
        </w:rPr>
        <w:t>投标人收到招标文件后，应仔细检查招标文件是否齐全、是否有表述不明确或缺（错、重）字等问题，应立即</w:t>
      </w:r>
      <w:r>
        <w:rPr>
          <w:rFonts w:hint="eastAsia" w:ascii="宋体" w:hAnsi="宋体"/>
          <w:b/>
          <w:szCs w:val="21"/>
        </w:rPr>
        <w:t>登陆《焦作市公共资源交易中心网》进入会员系统提出</w:t>
      </w:r>
      <w:r>
        <w:rPr>
          <w:rFonts w:hint="eastAsia" w:ascii="宋体" w:hAnsi="宋体"/>
          <w:szCs w:val="21"/>
        </w:rPr>
        <w:t>并及时联系采购代理机构解决。如果因投标人未按上述要求提出而造成不良后果的，采购代理机构不承担任何责任。　　</w:t>
      </w:r>
    </w:p>
    <w:p>
      <w:pPr>
        <w:numPr>
          <w:ilvl w:val="1"/>
          <w:numId w:val="14"/>
        </w:numPr>
        <w:spacing w:line="440" w:lineRule="exact"/>
        <w:ind w:firstLine="480" w:firstLineChars="200"/>
        <w:rPr>
          <w:rFonts w:ascii="宋体" w:hAnsi="宋体"/>
          <w:bCs/>
          <w:szCs w:val="21"/>
        </w:rPr>
      </w:pPr>
      <w:r>
        <w:rPr>
          <w:rFonts w:hint="eastAsia" w:ascii="宋体" w:hAnsi="宋体"/>
          <w:bCs/>
          <w:szCs w:val="21"/>
        </w:rPr>
        <w:t>投标人被视为充分熟悉本采购项目所在地的与履行合同有关的各种情况，包括自然环境、气候条件、劳动力及公用设施等，本招标文件不再对上述情况进行描述。</w:t>
      </w:r>
    </w:p>
    <w:p>
      <w:pPr>
        <w:numPr>
          <w:ilvl w:val="1"/>
          <w:numId w:val="14"/>
        </w:numPr>
        <w:spacing w:line="440" w:lineRule="exact"/>
        <w:ind w:firstLine="480" w:firstLineChars="200"/>
        <w:rPr>
          <w:rFonts w:ascii="宋体" w:hAnsi="宋体"/>
          <w:bCs/>
          <w:szCs w:val="21"/>
        </w:rPr>
      </w:pPr>
      <w:r>
        <w:rPr>
          <w:rFonts w:hint="eastAsia" w:ascii="宋体" w:hAnsi="宋体"/>
          <w:bCs/>
          <w:szCs w:val="21"/>
        </w:rPr>
        <w:t>投标人必须详阅招标文件的所有条款、文件及表格格式等。投标人若未按招标文件的要求和规范编制、提交投标文件，将有可能导致投标文件被拒绝接受或被视为无效。</w:t>
      </w:r>
    </w:p>
    <w:p>
      <w:pPr>
        <w:numPr>
          <w:ilvl w:val="1"/>
          <w:numId w:val="11"/>
        </w:numPr>
        <w:spacing w:line="440" w:lineRule="exact"/>
        <w:ind w:firstLine="482" w:firstLineChars="200"/>
        <w:rPr>
          <w:rFonts w:ascii="宋体" w:hAnsi="宋体"/>
          <w:b/>
          <w:bCs/>
          <w:szCs w:val="21"/>
        </w:rPr>
      </w:pPr>
      <w:r>
        <w:rPr>
          <w:rFonts w:hint="eastAsia" w:ascii="宋体" w:hAnsi="宋体"/>
          <w:b/>
          <w:bCs/>
          <w:szCs w:val="21"/>
        </w:rPr>
        <w:t>招标文件的澄清和修改</w:t>
      </w:r>
    </w:p>
    <w:p>
      <w:pPr>
        <w:spacing w:line="440" w:lineRule="exact"/>
        <w:ind w:firstLine="480" w:firstLineChars="200"/>
        <w:rPr>
          <w:rFonts w:ascii="宋体" w:hAnsi="宋体"/>
          <w:szCs w:val="21"/>
        </w:rPr>
      </w:pPr>
      <w:r>
        <w:rPr>
          <w:rFonts w:hint="eastAsia" w:ascii="宋体" w:hAnsi="宋体"/>
          <w:szCs w:val="21"/>
        </w:rPr>
        <w:t>采购人或者采购代理机构可以对已发出的招标文件进行必要的澄清或者修改。澄清或者修改应当在原公告发布媒体上发布澄清公告。澄清或者修改的内容为招标文件的组成部分。</w:t>
      </w:r>
    </w:p>
    <w:p>
      <w:pPr>
        <w:spacing w:line="440" w:lineRule="exact"/>
        <w:ind w:firstLine="480" w:firstLineChars="200"/>
        <w:rPr>
          <w:rFonts w:ascii="宋体" w:hAnsi="宋体"/>
          <w:bCs/>
          <w:szCs w:val="21"/>
        </w:rPr>
      </w:pPr>
      <w:r>
        <w:rPr>
          <w:rFonts w:hint="eastAsia" w:ascii="宋体" w:hAnsi="宋体"/>
          <w:szCs w:val="21"/>
        </w:rPr>
        <w:t>澄清或者修改的内容可能影响投标文件编制的，采购人或者采购代理机构应当在投标截止时间至少15日前，在原公告发布媒体上发布澄清公告；不足15日的，采购人或者采购代理机构应当顺延提交投标文件的截止时间。</w:t>
      </w:r>
    </w:p>
    <w:p>
      <w:pPr>
        <w:numPr>
          <w:ilvl w:val="1"/>
          <w:numId w:val="11"/>
        </w:numPr>
        <w:spacing w:line="440" w:lineRule="exact"/>
        <w:ind w:firstLine="482" w:firstLineChars="200"/>
        <w:rPr>
          <w:rFonts w:ascii="宋体" w:hAnsi="宋体"/>
          <w:b/>
          <w:bCs/>
          <w:szCs w:val="21"/>
        </w:rPr>
      </w:pPr>
      <w:r>
        <w:rPr>
          <w:rFonts w:hint="eastAsia" w:ascii="宋体" w:hAnsi="宋体"/>
          <w:b/>
          <w:bCs/>
          <w:szCs w:val="21"/>
        </w:rPr>
        <w:t xml:space="preserve">招标文件的约束力 </w:t>
      </w:r>
    </w:p>
    <w:p>
      <w:pPr>
        <w:spacing w:line="440" w:lineRule="exact"/>
        <w:ind w:firstLine="480" w:firstLineChars="200"/>
        <w:rPr>
          <w:rFonts w:ascii="宋体" w:hAnsi="宋体"/>
          <w:szCs w:val="21"/>
        </w:rPr>
      </w:pPr>
      <w:r>
        <w:rPr>
          <w:rFonts w:hint="eastAsia" w:ascii="宋体" w:hAnsi="宋体"/>
          <w:szCs w:val="21"/>
        </w:rPr>
        <w:t>投标人一旦获取了本招标文件并参加投标，即被认为对本招标文件中的所有条件和规定均无异议。</w:t>
      </w:r>
    </w:p>
    <w:p>
      <w:pPr>
        <w:pStyle w:val="4"/>
        <w:numPr>
          <w:ilvl w:val="3"/>
          <w:numId w:val="10"/>
        </w:numPr>
        <w:spacing w:line="440" w:lineRule="exact"/>
        <w:jc w:val="center"/>
        <w:rPr>
          <w:rFonts w:ascii="宋体" w:hAnsi="宋体" w:eastAsia="宋体" w:cs="宋体"/>
        </w:rPr>
      </w:pPr>
      <w:bookmarkStart w:id="11" w:name="_Toc16111"/>
      <w:bookmarkStart w:id="12" w:name="_Toc477166573"/>
      <w:bookmarkStart w:id="13" w:name="_Toc29080"/>
      <w:bookmarkStart w:id="14" w:name="_Toc17444520"/>
      <w:r>
        <w:rPr>
          <w:rFonts w:hint="eastAsia" w:ascii="宋体" w:hAnsi="宋体" w:eastAsia="宋体" w:cs="宋体"/>
        </w:rPr>
        <w:t>投标文件的编制</w:t>
      </w:r>
      <w:bookmarkEnd w:id="11"/>
      <w:bookmarkEnd w:id="12"/>
      <w:bookmarkEnd w:id="13"/>
      <w:bookmarkEnd w:id="14"/>
    </w:p>
    <w:p>
      <w:pPr>
        <w:numPr>
          <w:ilvl w:val="1"/>
          <w:numId w:val="11"/>
        </w:numPr>
        <w:spacing w:line="440" w:lineRule="exact"/>
        <w:ind w:firstLine="482" w:firstLineChars="200"/>
        <w:rPr>
          <w:rFonts w:ascii="宋体" w:hAnsi="宋体"/>
          <w:b/>
          <w:bCs/>
          <w:szCs w:val="21"/>
        </w:rPr>
      </w:pPr>
      <w:r>
        <w:rPr>
          <w:rFonts w:hint="eastAsia" w:ascii="宋体" w:hAnsi="宋体"/>
          <w:b/>
          <w:bCs/>
          <w:szCs w:val="21"/>
        </w:rPr>
        <w:t>要求</w:t>
      </w:r>
    </w:p>
    <w:p>
      <w:pPr>
        <w:numPr>
          <w:ilvl w:val="1"/>
          <w:numId w:val="15"/>
        </w:numPr>
        <w:spacing w:line="440" w:lineRule="exact"/>
        <w:ind w:firstLine="480" w:firstLineChars="200"/>
        <w:rPr>
          <w:rFonts w:ascii="宋体" w:hAnsi="宋体"/>
          <w:szCs w:val="21"/>
        </w:rPr>
      </w:pPr>
      <w:r>
        <w:rPr>
          <w:rFonts w:hint="eastAsia" w:ascii="宋体" w:hAnsi="宋体"/>
          <w:szCs w:val="21"/>
        </w:rPr>
        <w:t>投标人应仔细阅读、并充分理解招标文件的所有内容，按照招标文件的要求编制、提交投标文件。</w:t>
      </w:r>
    </w:p>
    <w:p>
      <w:pPr>
        <w:numPr>
          <w:ilvl w:val="1"/>
          <w:numId w:val="15"/>
        </w:numPr>
        <w:spacing w:line="440" w:lineRule="exact"/>
        <w:ind w:firstLine="480" w:firstLineChars="200"/>
        <w:rPr>
          <w:rFonts w:ascii="宋体" w:hAnsi="宋体"/>
          <w:szCs w:val="21"/>
        </w:rPr>
      </w:pPr>
      <w:r>
        <w:rPr>
          <w:rFonts w:hint="eastAsia" w:ascii="宋体" w:hAnsi="宋体"/>
          <w:szCs w:val="21"/>
        </w:rPr>
        <w:t>投标文件应对招标文件的要求作出实质性响应（包括投标人资格要求、商务要求和投标文件格式中对投标的要求），并保证所提供的全部资料的真实性，否则其投标将作为无效投标处理。</w:t>
      </w:r>
    </w:p>
    <w:p>
      <w:pPr>
        <w:numPr>
          <w:ilvl w:val="1"/>
          <w:numId w:val="15"/>
        </w:numPr>
        <w:spacing w:line="440" w:lineRule="exact"/>
        <w:ind w:firstLine="480" w:firstLineChars="200"/>
        <w:rPr>
          <w:rFonts w:ascii="宋体" w:hAnsi="宋体"/>
          <w:szCs w:val="21"/>
        </w:rPr>
      </w:pPr>
      <w:r>
        <w:rPr>
          <w:rFonts w:hint="eastAsia" w:ascii="宋体" w:hAnsi="宋体"/>
          <w:szCs w:val="21"/>
        </w:rPr>
        <w:t>投标人没有按照招标文件要求提供全部资料，或者投标人没有对招标文件在各方面都作出实质性响应是投标人的风险，并可能导致其投标被拒绝。</w:t>
      </w:r>
    </w:p>
    <w:p>
      <w:pPr>
        <w:numPr>
          <w:ilvl w:val="1"/>
          <w:numId w:val="15"/>
        </w:numPr>
        <w:spacing w:line="440" w:lineRule="exact"/>
        <w:ind w:firstLine="480" w:firstLineChars="200"/>
        <w:rPr>
          <w:rFonts w:ascii="宋体" w:hAnsi="宋体"/>
          <w:szCs w:val="21"/>
        </w:rPr>
      </w:pPr>
      <w:r>
        <w:rPr>
          <w:rFonts w:hint="eastAsia" w:ascii="宋体" w:hAnsi="宋体"/>
          <w:szCs w:val="21"/>
        </w:rPr>
        <w:t>投标人与采购人、采购代理机构的任何口头协议均不影响招标文件、投标文件的任何条款和内容。</w:t>
      </w:r>
    </w:p>
    <w:p>
      <w:pPr>
        <w:numPr>
          <w:ilvl w:val="1"/>
          <w:numId w:val="11"/>
        </w:numPr>
        <w:spacing w:line="440" w:lineRule="exact"/>
        <w:ind w:firstLine="482" w:firstLineChars="200"/>
        <w:rPr>
          <w:rFonts w:ascii="宋体" w:hAnsi="宋体"/>
          <w:b/>
          <w:bCs/>
          <w:szCs w:val="21"/>
        </w:rPr>
      </w:pPr>
      <w:r>
        <w:rPr>
          <w:rFonts w:hint="eastAsia" w:ascii="宋体" w:hAnsi="宋体"/>
          <w:b/>
          <w:bCs/>
          <w:szCs w:val="21"/>
        </w:rPr>
        <w:t>投标文件的语言</w:t>
      </w:r>
    </w:p>
    <w:p>
      <w:pPr>
        <w:spacing w:line="440" w:lineRule="exact"/>
        <w:ind w:firstLine="480" w:firstLineChars="200"/>
        <w:rPr>
          <w:rFonts w:ascii="宋体" w:hAnsi="宋体"/>
          <w:szCs w:val="21"/>
        </w:rPr>
      </w:pPr>
      <w:r>
        <w:rPr>
          <w:rFonts w:hint="eastAsia" w:ascii="宋体" w:hAnsi="宋体"/>
          <w:szCs w:val="21"/>
        </w:rPr>
        <w:t>投标文件以及投标人与采购人、采购代理机构就有关投标事宜的所有来往函电均应使用简体中文书写。投标人提交的支持资料和已印制的文献可以用另一种语言，但相应内容应附有中文翻译本，并提供附有公证书的中文翻译文件或者与原版文件签章相一致的中文翻译文件，在解释投标文件时以中文翻译本为准。</w:t>
      </w:r>
    </w:p>
    <w:p>
      <w:pPr>
        <w:numPr>
          <w:ilvl w:val="1"/>
          <w:numId w:val="11"/>
        </w:numPr>
        <w:spacing w:line="440" w:lineRule="exact"/>
        <w:ind w:firstLine="482" w:firstLineChars="200"/>
        <w:rPr>
          <w:rFonts w:ascii="宋体" w:hAnsi="宋体"/>
          <w:b/>
          <w:bCs/>
          <w:szCs w:val="21"/>
        </w:rPr>
      </w:pPr>
      <w:r>
        <w:rPr>
          <w:rFonts w:hint="eastAsia" w:ascii="宋体" w:hAnsi="宋体"/>
          <w:b/>
          <w:bCs/>
          <w:szCs w:val="21"/>
        </w:rPr>
        <w:t>计量单位</w:t>
      </w:r>
    </w:p>
    <w:p>
      <w:pPr>
        <w:numPr>
          <w:ilvl w:val="1"/>
          <w:numId w:val="16"/>
        </w:numPr>
        <w:spacing w:line="440" w:lineRule="exact"/>
        <w:ind w:firstLine="480" w:firstLineChars="200"/>
        <w:rPr>
          <w:rFonts w:ascii="宋体" w:hAnsi="宋体"/>
          <w:szCs w:val="21"/>
        </w:rPr>
      </w:pPr>
      <w:r>
        <w:rPr>
          <w:rFonts w:hint="eastAsia" w:ascii="宋体" w:hAnsi="宋体"/>
          <w:szCs w:val="21"/>
        </w:rPr>
        <w:t>除在招标文件中另有规定外，计量单位应使用中华人民共和国法定计量单位。</w:t>
      </w:r>
    </w:p>
    <w:p>
      <w:pPr>
        <w:numPr>
          <w:ilvl w:val="1"/>
          <w:numId w:val="16"/>
        </w:numPr>
        <w:spacing w:line="440" w:lineRule="exact"/>
        <w:ind w:firstLine="480" w:firstLineChars="200"/>
        <w:rPr>
          <w:rFonts w:ascii="宋体" w:hAnsi="宋体"/>
          <w:szCs w:val="21"/>
        </w:rPr>
      </w:pPr>
      <w:r>
        <w:rPr>
          <w:rFonts w:hint="eastAsia" w:ascii="宋体" w:hAnsi="宋体"/>
          <w:szCs w:val="21"/>
        </w:rPr>
        <w:t>本招标文件所表述的时间均为北京时间(以武陟县公共资源交易中心开标区电子表为准)。</w:t>
      </w:r>
    </w:p>
    <w:p>
      <w:pPr>
        <w:numPr>
          <w:ilvl w:val="1"/>
          <w:numId w:val="11"/>
        </w:numPr>
        <w:spacing w:line="440" w:lineRule="exact"/>
        <w:ind w:firstLine="482" w:firstLineChars="200"/>
        <w:rPr>
          <w:rFonts w:ascii="宋体" w:hAnsi="宋体"/>
          <w:b/>
          <w:bCs/>
          <w:szCs w:val="21"/>
        </w:rPr>
      </w:pPr>
      <w:r>
        <w:rPr>
          <w:rFonts w:hint="eastAsia" w:ascii="宋体" w:hAnsi="宋体"/>
          <w:b/>
          <w:bCs/>
          <w:szCs w:val="21"/>
        </w:rPr>
        <w:t>投标文件的组成</w:t>
      </w:r>
    </w:p>
    <w:p>
      <w:pPr>
        <w:numPr>
          <w:ilvl w:val="1"/>
          <w:numId w:val="17"/>
        </w:numPr>
        <w:spacing w:line="440" w:lineRule="exact"/>
        <w:ind w:firstLine="480" w:firstLineChars="200"/>
        <w:rPr>
          <w:rFonts w:ascii="宋体" w:hAnsi="宋体"/>
          <w:szCs w:val="21"/>
        </w:rPr>
      </w:pPr>
      <w:r>
        <w:rPr>
          <w:rFonts w:hint="eastAsia" w:ascii="宋体" w:hAnsi="宋体"/>
          <w:szCs w:val="21"/>
        </w:rPr>
        <w:t>投标文件由“第五章投标文件资格证明文件格式”和“第六章投标文件商务、技术证明文件格式”两部分内容及本招标文件要求提供的相关资料组成。</w:t>
      </w:r>
    </w:p>
    <w:p>
      <w:pPr>
        <w:numPr>
          <w:ilvl w:val="1"/>
          <w:numId w:val="17"/>
        </w:numPr>
        <w:spacing w:line="440" w:lineRule="exact"/>
        <w:ind w:firstLine="480" w:firstLineChars="200"/>
        <w:rPr>
          <w:rFonts w:ascii="宋体" w:hAnsi="宋体"/>
          <w:szCs w:val="21"/>
        </w:rPr>
      </w:pPr>
      <w:r>
        <w:rPr>
          <w:rFonts w:hint="eastAsia" w:ascii="宋体" w:hAnsi="宋体"/>
          <w:szCs w:val="21"/>
        </w:rPr>
        <w:t>投标人必须对完整的项目（包）进行投标，拆分投标将视为漏项或非实质性响应招标要求，按无效投标处理。</w:t>
      </w:r>
    </w:p>
    <w:p>
      <w:pPr>
        <w:numPr>
          <w:ilvl w:val="1"/>
          <w:numId w:val="11"/>
        </w:numPr>
        <w:spacing w:line="440" w:lineRule="exact"/>
        <w:ind w:firstLine="482" w:firstLineChars="200"/>
        <w:rPr>
          <w:rFonts w:ascii="宋体" w:hAnsi="宋体"/>
          <w:b/>
          <w:bCs/>
          <w:szCs w:val="21"/>
        </w:rPr>
      </w:pPr>
      <w:r>
        <w:rPr>
          <w:rFonts w:hint="eastAsia" w:ascii="宋体" w:hAnsi="宋体"/>
          <w:b/>
          <w:bCs/>
          <w:szCs w:val="21"/>
        </w:rPr>
        <w:t>投标文件格式</w:t>
      </w:r>
    </w:p>
    <w:p>
      <w:pPr>
        <w:spacing w:line="440" w:lineRule="exact"/>
        <w:ind w:firstLine="480" w:firstLineChars="200"/>
        <w:rPr>
          <w:rFonts w:ascii="宋体" w:hAnsi="宋体"/>
          <w:b/>
          <w:bCs/>
          <w:szCs w:val="21"/>
        </w:rPr>
      </w:pPr>
      <w:r>
        <w:rPr>
          <w:rFonts w:hint="eastAsia" w:ascii="宋体" w:hAnsi="宋体"/>
          <w:szCs w:val="21"/>
        </w:rPr>
        <w:t>投标人必须按照招标文件提供的“第五章投标文件资格证明文件格式”和“第六章投标文件商务、技术证明文件格式”完整的填写和编制投标文件，未提供格式的可自行拟定。</w:t>
      </w:r>
    </w:p>
    <w:p>
      <w:pPr>
        <w:numPr>
          <w:ilvl w:val="1"/>
          <w:numId w:val="11"/>
        </w:numPr>
        <w:spacing w:line="440" w:lineRule="exact"/>
        <w:ind w:firstLine="482" w:firstLineChars="200"/>
        <w:rPr>
          <w:rFonts w:ascii="宋体" w:hAnsi="宋体"/>
          <w:b/>
          <w:bCs/>
          <w:szCs w:val="21"/>
        </w:rPr>
      </w:pPr>
      <w:r>
        <w:rPr>
          <w:rFonts w:hint="eastAsia" w:ascii="宋体" w:hAnsi="宋体"/>
          <w:b/>
          <w:bCs/>
          <w:szCs w:val="21"/>
        </w:rPr>
        <w:t>投标报价</w:t>
      </w:r>
    </w:p>
    <w:p>
      <w:pPr>
        <w:numPr>
          <w:ilvl w:val="1"/>
          <w:numId w:val="18"/>
        </w:numPr>
        <w:spacing w:line="440" w:lineRule="exact"/>
        <w:ind w:firstLine="480" w:firstLineChars="200"/>
        <w:rPr>
          <w:rFonts w:ascii="宋体" w:hAnsi="宋体"/>
          <w:szCs w:val="21"/>
        </w:rPr>
      </w:pPr>
      <w:r>
        <w:rPr>
          <w:rFonts w:hint="eastAsia" w:ascii="宋体" w:hAnsi="宋体"/>
          <w:szCs w:val="21"/>
        </w:rPr>
        <w:t>报价范围：见投标人须知前附表。</w:t>
      </w:r>
    </w:p>
    <w:p>
      <w:pPr>
        <w:numPr>
          <w:ilvl w:val="1"/>
          <w:numId w:val="18"/>
        </w:numPr>
        <w:spacing w:line="440" w:lineRule="exact"/>
        <w:ind w:firstLine="480" w:firstLineChars="200"/>
        <w:rPr>
          <w:rFonts w:ascii="宋体" w:hAnsi="宋体"/>
          <w:szCs w:val="21"/>
        </w:rPr>
      </w:pPr>
      <w:r>
        <w:rPr>
          <w:rFonts w:hint="eastAsia" w:ascii="宋体" w:hAnsi="宋体"/>
          <w:szCs w:val="21"/>
        </w:rPr>
        <w:t>报价应具有唯一性，即只能有一个有效报价，本项目不接受任何有选择性的报价。</w:t>
      </w:r>
    </w:p>
    <w:p>
      <w:pPr>
        <w:numPr>
          <w:ilvl w:val="1"/>
          <w:numId w:val="11"/>
        </w:numPr>
        <w:spacing w:line="440" w:lineRule="exact"/>
        <w:ind w:firstLine="482" w:firstLineChars="200"/>
        <w:rPr>
          <w:rFonts w:ascii="宋体" w:hAnsi="宋体"/>
          <w:b/>
          <w:bCs/>
          <w:szCs w:val="21"/>
        </w:rPr>
      </w:pPr>
      <w:r>
        <w:rPr>
          <w:rFonts w:hint="eastAsia" w:ascii="宋体" w:hAnsi="宋体"/>
          <w:b/>
          <w:bCs/>
          <w:szCs w:val="21"/>
        </w:rPr>
        <w:t>投标货币</w:t>
      </w:r>
    </w:p>
    <w:p>
      <w:pPr>
        <w:spacing w:line="440" w:lineRule="exact"/>
        <w:ind w:firstLine="480" w:firstLineChars="200"/>
        <w:rPr>
          <w:rFonts w:ascii="宋体" w:hAnsi="宋体"/>
          <w:bCs/>
          <w:szCs w:val="21"/>
        </w:rPr>
      </w:pPr>
      <w:r>
        <w:rPr>
          <w:rFonts w:hint="eastAsia" w:ascii="宋体" w:hAnsi="宋体"/>
          <w:bCs/>
          <w:szCs w:val="21"/>
        </w:rPr>
        <w:t>本项目所有报价均使用人民币填报，采购人不接受任何非人民币币种的投标报价。</w:t>
      </w:r>
    </w:p>
    <w:p>
      <w:pPr>
        <w:numPr>
          <w:ilvl w:val="1"/>
          <w:numId w:val="11"/>
        </w:numPr>
        <w:spacing w:line="440" w:lineRule="exact"/>
        <w:ind w:firstLine="482" w:firstLineChars="200"/>
        <w:rPr>
          <w:rFonts w:ascii="宋体" w:hAnsi="宋体"/>
          <w:b/>
          <w:bCs/>
          <w:szCs w:val="21"/>
        </w:rPr>
      </w:pPr>
      <w:r>
        <w:rPr>
          <w:rFonts w:hint="eastAsia" w:ascii="宋体" w:hAnsi="宋体"/>
          <w:b/>
          <w:bCs/>
          <w:szCs w:val="21"/>
        </w:rPr>
        <w:t>投标保证金：详见投标人须知前附表。</w:t>
      </w:r>
    </w:p>
    <w:p>
      <w:pPr>
        <w:numPr>
          <w:ilvl w:val="1"/>
          <w:numId w:val="11"/>
        </w:numPr>
        <w:spacing w:line="440" w:lineRule="exact"/>
        <w:ind w:firstLine="482" w:firstLineChars="200"/>
        <w:rPr>
          <w:rFonts w:ascii="宋体" w:hAnsi="宋体"/>
          <w:b/>
          <w:bCs/>
          <w:szCs w:val="21"/>
        </w:rPr>
      </w:pPr>
      <w:r>
        <w:rPr>
          <w:rFonts w:hint="eastAsia" w:ascii="宋体" w:hAnsi="宋体"/>
          <w:b/>
          <w:bCs/>
          <w:szCs w:val="21"/>
        </w:rPr>
        <w:t>投标有效期</w:t>
      </w:r>
    </w:p>
    <w:p>
      <w:pPr>
        <w:numPr>
          <w:ilvl w:val="1"/>
          <w:numId w:val="19"/>
        </w:numPr>
        <w:spacing w:line="440" w:lineRule="exact"/>
        <w:ind w:firstLine="480" w:firstLineChars="200"/>
        <w:rPr>
          <w:rFonts w:ascii="宋体" w:hAnsi="宋体"/>
          <w:szCs w:val="21"/>
        </w:rPr>
      </w:pPr>
      <w:r>
        <w:rPr>
          <w:rFonts w:hint="eastAsia" w:ascii="宋体" w:hAnsi="宋体"/>
          <w:szCs w:val="21"/>
        </w:rPr>
        <w:t>投标有效期见投标人须知前附表，</w:t>
      </w:r>
      <w:r>
        <w:rPr>
          <w:rFonts w:hint="eastAsia" w:ascii="宋体" w:hAnsi="宋体"/>
          <w:color w:val="000000"/>
          <w:szCs w:val="21"/>
          <w:shd w:val="clear" w:color="auto" w:fill="FFFFFF"/>
        </w:rPr>
        <w:t>投标文件中承诺的投标有效期应当不少于本招标文件中载明的投标有效期</w:t>
      </w:r>
      <w:r>
        <w:rPr>
          <w:rFonts w:hint="eastAsia" w:ascii="宋体" w:hAnsi="宋体"/>
          <w:szCs w:val="21"/>
        </w:rPr>
        <w:t>。中标人的投标文件有效期至合同完全履行止。</w:t>
      </w:r>
    </w:p>
    <w:p>
      <w:pPr>
        <w:numPr>
          <w:ilvl w:val="1"/>
          <w:numId w:val="19"/>
        </w:numPr>
        <w:spacing w:line="440" w:lineRule="exact"/>
        <w:ind w:firstLine="480" w:firstLineChars="200"/>
        <w:rPr>
          <w:rFonts w:ascii="宋体" w:hAnsi="宋体"/>
          <w:szCs w:val="21"/>
        </w:rPr>
      </w:pPr>
      <w:r>
        <w:rPr>
          <w:rFonts w:hint="eastAsia" w:ascii="宋体" w:hAnsi="宋体"/>
          <w:szCs w:val="21"/>
        </w:rPr>
        <w:t>投标有效期内，投标人撤销或修改其投标文件的，应承担招标文件和相关法律法规规定的责任。</w:t>
      </w:r>
    </w:p>
    <w:p>
      <w:pPr>
        <w:numPr>
          <w:ilvl w:val="1"/>
          <w:numId w:val="11"/>
        </w:numPr>
        <w:spacing w:line="440" w:lineRule="exact"/>
        <w:ind w:firstLine="482" w:firstLineChars="200"/>
        <w:rPr>
          <w:rFonts w:ascii="宋体" w:hAnsi="宋体"/>
          <w:b/>
          <w:bCs/>
          <w:szCs w:val="21"/>
        </w:rPr>
      </w:pPr>
      <w:r>
        <w:rPr>
          <w:rFonts w:hint="eastAsia" w:ascii="宋体" w:hAnsi="宋体"/>
          <w:b/>
          <w:bCs/>
          <w:szCs w:val="21"/>
        </w:rPr>
        <w:t>投标文件的密封、签字、盖章及装订</w:t>
      </w:r>
    </w:p>
    <w:p>
      <w:pPr>
        <w:numPr>
          <w:ilvl w:val="1"/>
          <w:numId w:val="20"/>
        </w:numPr>
        <w:spacing w:line="440" w:lineRule="exact"/>
        <w:ind w:firstLine="480" w:firstLineChars="200"/>
        <w:rPr>
          <w:rFonts w:ascii="宋体" w:hAnsi="宋体"/>
          <w:szCs w:val="21"/>
        </w:rPr>
      </w:pPr>
      <w:r>
        <w:rPr>
          <w:rFonts w:hint="eastAsia" w:ascii="宋体" w:hAnsi="宋体"/>
          <w:szCs w:val="21"/>
        </w:rPr>
        <w:t>投标文件份数：见投标人须知前附表；</w:t>
      </w:r>
    </w:p>
    <w:p>
      <w:pPr>
        <w:numPr>
          <w:ilvl w:val="1"/>
          <w:numId w:val="20"/>
        </w:numPr>
        <w:spacing w:line="440" w:lineRule="exact"/>
        <w:ind w:firstLine="480" w:firstLineChars="200"/>
        <w:rPr>
          <w:rFonts w:ascii="宋体" w:hAnsi="宋体"/>
          <w:szCs w:val="21"/>
        </w:rPr>
      </w:pPr>
      <w:r>
        <w:rPr>
          <w:rFonts w:hint="eastAsia" w:ascii="宋体" w:hAnsi="宋体"/>
          <w:szCs w:val="21"/>
        </w:rPr>
        <w:t>投标文件的密封：见投标人须知前附表；</w:t>
      </w:r>
    </w:p>
    <w:p>
      <w:pPr>
        <w:numPr>
          <w:ilvl w:val="1"/>
          <w:numId w:val="20"/>
        </w:numPr>
        <w:spacing w:line="440" w:lineRule="exact"/>
        <w:ind w:firstLine="480" w:firstLineChars="200"/>
        <w:rPr>
          <w:rFonts w:ascii="宋体" w:hAnsi="宋体"/>
          <w:szCs w:val="21"/>
        </w:rPr>
      </w:pPr>
      <w:r>
        <w:rPr>
          <w:rFonts w:hint="eastAsia" w:ascii="宋体" w:hAnsi="宋体"/>
          <w:szCs w:val="21"/>
          <w:lang w:val="zh-CN"/>
        </w:rPr>
        <w:t>投标人应按本招标文件规定的格式和顺序编制、装订投标文件。除了投标文件封面以外，每个页面都要在明显位置编制页码，按流水顺序填写，字迹必须清晰可认，投标文件的目录必须编序。</w:t>
      </w:r>
    </w:p>
    <w:p>
      <w:pPr>
        <w:numPr>
          <w:ilvl w:val="1"/>
          <w:numId w:val="20"/>
        </w:numPr>
        <w:spacing w:line="440" w:lineRule="exact"/>
        <w:ind w:firstLine="480" w:firstLineChars="200"/>
        <w:rPr>
          <w:rFonts w:ascii="宋体" w:hAnsi="宋体"/>
          <w:szCs w:val="21"/>
        </w:rPr>
      </w:pPr>
      <w:r>
        <w:rPr>
          <w:rFonts w:hint="eastAsia" w:ascii="宋体" w:hAnsi="宋体"/>
          <w:szCs w:val="21"/>
          <w:lang w:val="zh-CN"/>
        </w:rPr>
        <w:t>投标文件格式中凡是要求签字或加盖公章处均须由投标人的法定代表人或其委托代理人签字并加盖投标人公章。未按要求签字、加盖公章的投标文件为无效文件。本招标文件所表述（指定）的公章是指法人（投标人）行政公章，不包括专用章。</w:t>
      </w:r>
    </w:p>
    <w:p>
      <w:pPr>
        <w:numPr>
          <w:ilvl w:val="1"/>
          <w:numId w:val="20"/>
        </w:numPr>
        <w:spacing w:line="440" w:lineRule="exact"/>
        <w:ind w:firstLine="480" w:firstLineChars="200"/>
        <w:rPr>
          <w:rFonts w:ascii="宋体" w:hAnsi="宋体"/>
          <w:szCs w:val="21"/>
        </w:rPr>
      </w:pPr>
      <w:r>
        <w:rPr>
          <w:rFonts w:hint="eastAsia" w:ascii="宋体" w:hAnsi="宋体"/>
          <w:szCs w:val="21"/>
          <w:lang w:val="zh-CN"/>
        </w:rPr>
        <w:t>投标文件应无涂改和行间插字，除非这些改动是为改正投标人造成的必须修改的错误进行的。有改动时，修改处应由投标人法定代表人签字证明并加盖公章，但非投标人出具的材料，投标人改动无效。</w:t>
      </w:r>
    </w:p>
    <w:p>
      <w:pPr>
        <w:numPr>
          <w:ilvl w:val="1"/>
          <w:numId w:val="20"/>
        </w:numPr>
        <w:spacing w:line="440" w:lineRule="exact"/>
        <w:ind w:firstLine="480" w:firstLineChars="200"/>
        <w:rPr>
          <w:rFonts w:ascii="宋体" w:hAnsi="宋体"/>
          <w:szCs w:val="21"/>
        </w:rPr>
      </w:pPr>
      <w:r>
        <w:rPr>
          <w:rFonts w:hint="eastAsia" w:ascii="宋体" w:hAnsi="宋体"/>
          <w:szCs w:val="21"/>
          <w:lang w:val="zh-CN"/>
        </w:rPr>
        <w:t>投标人提交的资料应证明其满足招标文件要求，该文件可以是文字资料、图纸和数据，以及拟提供服务的详细描述。</w:t>
      </w:r>
    </w:p>
    <w:p>
      <w:pPr>
        <w:numPr>
          <w:ilvl w:val="1"/>
          <w:numId w:val="20"/>
        </w:numPr>
        <w:spacing w:line="440" w:lineRule="exact"/>
        <w:ind w:firstLine="480" w:firstLineChars="200"/>
        <w:rPr>
          <w:rFonts w:ascii="宋体" w:hAnsi="宋体"/>
          <w:szCs w:val="21"/>
        </w:rPr>
      </w:pPr>
      <w:r>
        <w:rPr>
          <w:rFonts w:hint="eastAsia" w:ascii="宋体" w:hAnsi="宋体"/>
          <w:szCs w:val="21"/>
          <w:lang w:val="zh-CN"/>
        </w:rPr>
        <w:t>投标文件的装订：</w:t>
      </w:r>
      <w:r>
        <w:rPr>
          <w:rFonts w:hint="eastAsia" w:ascii="宋体" w:hAnsi="宋体"/>
          <w:szCs w:val="21"/>
        </w:rPr>
        <w:t>见投标人须知前附表</w:t>
      </w:r>
      <w:r>
        <w:rPr>
          <w:rFonts w:hint="eastAsia" w:ascii="宋体" w:hAnsi="宋体"/>
          <w:szCs w:val="21"/>
          <w:lang w:val="zh-CN"/>
        </w:rPr>
        <w:t>。</w:t>
      </w:r>
    </w:p>
    <w:p>
      <w:pPr>
        <w:numPr>
          <w:ilvl w:val="1"/>
          <w:numId w:val="20"/>
        </w:numPr>
        <w:spacing w:line="440" w:lineRule="exact"/>
        <w:ind w:firstLine="480" w:firstLineChars="200"/>
        <w:rPr>
          <w:rFonts w:ascii="宋体" w:hAnsi="宋体"/>
          <w:szCs w:val="21"/>
        </w:rPr>
      </w:pPr>
      <w:r>
        <w:rPr>
          <w:rFonts w:hint="eastAsia" w:ascii="宋体" w:hAnsi="宋体"/>
          <w:szCs w:val="21"/>
        </w:rPr>
        <w:t>电报、电话、传真、电子邮件形式的投标概不接受。</w:t>
      </w:r>
    </w:p>
    <w:p>
      <w:pPr>
        <w:pStyle w:val="4"/>
        <w:numPr>
          <w:ilvl w:val="3"/>
          <w:numId w:val="10"/>
        </w:numPr>
        <w:spacing w:line="440" w:lineRule="exact"/>
        <w:jc w:val="center"/>
        <w:rPr>
          <w:rFonts w:ascii="宋体" w:hAnsi="宋体" w:eastAsia="宋体" w:cs="宋体"/>
        </w:rPr>
      </w:pPr>
      <w:bookmarkStart w:id="15" w:name="_Toc476237535"/>
      <w:bookmarkStart w:id="16" w:name="_Toc477166574"/>
      <w:bookmarkStart w:id="17" w:name="_Toc13096"/>
      <w:bookmarkStart w:id="18" w:name="_Toc17444521"/>
      <w:r>
        <w:rPr>
          <w:rFonts w:hint="eastAsia" w:ascii="宋体" w:hAnsi="宋体" w:eastAsia="宋体" w:cs="宋体"/>
        </w:rPr>
        <w:t>投标文件的递交</w:t>
      </w:r>
      <w:bookmarkEnd w:id="15"/>
      <w:bookmarkEnd w:id="16"/>
      <w:r>
        <w:rPr>
          <w:rFonts w:hint="eastAsia" w:ascii="宋体" w:hAnsi="宋体" w:eastAsia="宋体" w:cs="宋体"/>
        </w:rPr>
        <w:t>、修改和撤回</w:t>
      </w:r>
      <w:bookmarkEnd w:id="17"/>
      <w:bookmarkEnd w:id="18"/>
    </w:p>
    <w:p>
      <w:pPr>
        <w:numPr>
          <w:ilvl w:val="1"/>
          <w:numId w:val="11"/>
        </w:numPr>
        <w:spacing w:line="440" w:lineRule="exact"/>
        <w:ind w:firstLine="482" w:firstLineChars="200"/>
        <w:rPr>
          <w:rFonts w:ascii="宋体" w:hAnsi="宋体"/>
          <w:b/>
          <w:bCs/>
          <w:szCs w:val="21"/>
        </w:rPr>
      </w:pPr>
      <w:r>
        <w:rPr>
          <w:rFonts w:hint="eastAsia" w:ascii="宋体" w:hAnsi="宋体"/>
          <w:b/>
          <w:bCs/>
          <w:szCs w:val="21"/>
        </w:rPr>
        <w:t>投标文件的递交</w:t>
      </w:r>
    </w:p>
    <w:p>
      <w:pPr>
        <w:numPr>
          <w:ilvl w:val="1"/>
          <w:numId w:val="21"/>
        </w:numPr>
        <w:spacing w:line="440" w:lineRule="exact"/>
        <w:ind w:firstLine="480" w:firstLineChars="200"/>
        <w:rPr>
          <w:rFonts w:ascii="宋体" w:hAnsi="宋体"/>
          <w:szCs w:val="21"/>
        </w:rPr>
      </w:pPr>
      <w:r>
        <w:rPr>
          <w:rFonts w:hint="eastAsia" w:ascii="宋体" w:hAnsi="宋体"/>
          <w:szCs w:val="21"/>
        </w:rPr>
        <w:t>投标人应在招标公告中规定的投标截止时间前，将投标文件递交采购代理机构，递交（接收）地点为招标公告中规定的地点。</w:t>
      </w:r>
    </w:p>
    <w:p>
      <w:pPr>
        <w:numPr>
          <w:ilvl w:val="1"/>
          <w:numId w:val="21"/>
        </w:numPr>
        <w:spacing w:line="440" w:lineRule="exact"/>
        <w:ind w:firstLine="480" w:firstLineChars="200"/>
        <w:rPr>
          <w:rFonts w:ascii="宋体" w:hAnsi="宋体"/>
          <w:szCs w:val="21"/>
        </w:rPr>
      </w:pPr>
      <w:r>
        <w:rPr>
          <w:rFonts w:hint="eastAsia" w:ascii="宋体" w:hAnsi="宋体"/>
          <w:szCs w:val="21"/>
        </w:rPr>
        <w:t>采购代理机构拒绝接收在招标文件规定的投标截止时间之后递交的投标文件。</w:t>
      </w:r>
    </w:p>
    <w:p>
      <w:pPr>
        <w:numPr>
          <w:ilvl w:val="1"/>
          <w:numId w:val="21"/>
        </w:numPr>
        <w:spacing w:line="440" w:lineRule="exact"/>
        <w:ind w:firstLine="480" w:firstLineChars="200"/>
        <w:rPr>
          <w:rFonts w:ascii="宋体" w:hAnsi="宋体"/>
          <w:szCs w:val="21"/>
        </w:rPr>
      </w:pPr>
      <w:r>
        <w:rPr>
          <w:rFonts w:hint="eastAsia" w:ascii="宋体" w:hAnsi="宋体"/>
          <w:szCs w:val="21"/>
        </w:rPr>
        <w:t xml:space="preserve">若采购代理机构推迟了投标截止时间，采购人、采购代理机构和投标人受投标截止时间制约的所有权利和义务均应以新的截止时间为准。 </w:t>
      </w:r>
    </w:p>
    <w:p>
      <w:pPr>
        <w:numPr>
          <w:ilvl w:val="1"/>
          <w:numId w:val="21"/>
        </w:numPr>
        <w:spacing w:line="440" w:lineRule="exact"/>
        <w:ind w:firstLine="480" w:firstLineChars="200"/>
        <w:rPr>
          <w:rFonts w:ascii="宋体" w:hAnsi="宋体"/>
          <w:szCs w:val="21"/>
        </w:rPr>
      </w:pPr>
      <w:r>
        <w:rPr>
          <w:rFonts w:hint="eastAsia" w:ascii="宋体" w:hAnsi="宋体"/>
          <w:szCs w:val="21"/>
        </w:rPr>
        <w:t>采购代理机构接收的所有投标文件，均不予退还。</w:t>
      </w:r>
    </w:p>
    <w:p>
      <w:pPr>
        <w:numPr>
          <w:ilvl w:val="1"/>
          <w:numId w:val="11"/>
        </w:numPr>
        <w:spacing w:line="440" w:lineRule="exact"/>
        <w:ind w:firstLine="482" w:firstLineChars="200"/>
        <w:rPr>
          <w:rFonts w:ascii="宋体" w:hAnsi="宋体"/>
          <w:b/>
          <w:bCs/>
          <w:szCs w:val="21"/>
        </w:rPr>
      </w:pPr>
      <w:r>
        <w:rPr>
          <w:rFonts w:hint="eastAsia" w:ascii="宋体" w:hAnsi="宋体"/>
          <w:b/>
          <w:bCs/>
          <w:szCs w:val="21"/>
        </w:rPr>
        <w:t>投标文件的修改和撤回</w:t>
      </w:r>
    </w:p>
    <w:p>
      <w:pPr>
        <w:numPr>
          <w:ilvl w:val="1"/>
          <w:numId w:val="22"/>
        </w:numPr>
        <w:spacing w:line="440" w:lineRule="exact"/>
        <w:ind w:firstLine="480" w:firstLineChars="200"/>
        <w:rPr>
          <w:rFonts w:ascii="宋体" w:hAnsi="宋体"/>
          <w:szCs w:val="21"/>
        </w:rPr>
      </w:pPr>
      <w:r>
        <w:rPr>
          <w:rFonts w:hint="eastAsia" w:ascii="宋体" w:hAnsi="宋体"/>
          <w:szCs w:val="21"/>
        </w:rPr>
        <w:t>投标人在投标截止时间前，可以对所递交的投标文件进行补充、修改或者撤回，并书面通知采购代理机构。补充、修改的内容作为投标文件的组成部分。补充、修改的内容与投标文件不一致的，以补充、修改的内容为准；</w:t>
      </w:r>
    </w:p>
    <w:p>
      <w:pPr>
        <w:numPr>
          <w:ilvl w:val="1"/>
          <w:numId w:val="22"/>
        </w:numPr>
        <w:spacing w:line="440" w:lineRule="exact"/>
        <w:ind w:firstLine="480" w:firstLineChars="200"/>
        <w:rPr>
          <w:rFonts w:ascii="宋体" w:hAnsi="宋体"/>
          <w:szCs w:val="21"/>
        </w:rPr>
      </w:pPr>
      <w:r>
        <w:rPr>
          <w:rFonts w:hint="eastAsia" w:ascii="宋体" w:hAnsi="宋体"/>
        </w:rPr>
        <w:t>投标文件的补充、修改文件应按照本招标文件有关规定进行密封、签字，并注明“修改投标文件”字样。补充、修改文件须在投标截止时间前送达采购代理机构规定的投标文件接收地点；</w:t>
      </w:r>
    </w:p>
    <w:p>
      <w:pPr>
        <w:numPr>
          <w:ilvl w:val="1"/>
          <w:numId w:val="22"/>
        </w:numPr>
        <w:spacing w:line="440" w:lineRule="exact"/>
        <w:ind w:firstLine="480" w:firstLineChars="200"/>
        <w:rPr>
          <w:rFonts w:ascii="宋体" w:hAnsi="宋体"/>
          <w:szCs w:val="21"/>
        </w:rPr>
      </w:pPr>
      <w:r>
        <w:rPr>
          <w:rFonts w:hint="eastAsia" w:ascii="宋体" w:hAnsi="宋体"/>
        </w:rPr>
        <w:t>投标人在投标截止时间后不得补充、修改或撤回投标文件。投标人在投标截止时间后补充、修改投标文件的，其投标将被拒绝。</w:t>
      </w:r>
    </w:p>
    <w:p>
      <w:pPr>
        <w:pStyle w:val="4"/>
        <w:numPr>
          <w:ilvl w:val="3"/>
          <w:numId w:val="10"/>
        </w:numPr>
        <w:spacing w:line="440" w:lineRule="exact"/>
        <w:jc w:val="center"/>
        <w:rPr>
          <w:rFonts w:ascii="宋体" w:hAnsi="宋体" w:eastAsia="宋体" w:cs="宋体"/>
        </w:rPr>
      </w:pPr>
      <w:bookmarkStart w:id="19" w:name="_Toc477166575"/>
      <w:bookmarkStart w:id="20" w:name="_Toc476237536"/>
      <w:bookmarkStart w:id="21" w:name="_Toc32364"/>
      <w:bookmarkStart w:id="22" w:name="_Toc17444522"/>
      <w:r>
        <w:rPr>
          <w:rFonts w:hint="eastAsia" w:ascii="宋体" w:hAnsi="宋体" w:eastAsia="宋体" w:cs="宋体"/>
        </w:rPr>
        <w:t>开标与评标</w:t>
      </w:r>
      <w:bookmarkEnd w:id="19"/>
      <w:bookmarkEnd w:id="20"/>
      <w:bookmarkEnd w:id="21"/>
      <w:bookmarkEnd w:id="22"/>
    </w:p>
    <w:p>
      <w:pPr>
        <w:numPr>
          <w:ilvl w:val="1"/>
          <w:numId w:val="11"/>
        </w:numPr>
        <w:spacing w:line="440" w:lineRule="exact"/>
        <w:ind w:firstLine="482" w:firstLineChars="200"/>
        <w:rPr>
          <w:rFonts w:ascii="宋体" w:hAnsi="宋体"/>
          <w:b/>
          <w:bCs/>
          <w:szCs w:val="21"/>
        </w:rPr>
      </w:pPr>
      <w:r>
        <w:rPr>
          <w:rFonts w:hint="eastAsia" w:ascii="宋体" w:hAnsi="宋体"/>
          <w:b/>
          <w:bCs/>
          <w:szCs w:val="21"/>
        </w:rPr>
        <w:t>开标</w:t>
      </w:r>
    </w:p>
    <w:p>
      <w:pPr>
        <w:numPr>
          <w:ilvl w:val="1"/>
          <w:numId w:val="23"/>
        </w:numPr>
        <w:spacing w:line="440" w:lineRule="exact"/>
        <w:ind w:firstLine="480" w:firstLineChars="200"/>
        <w:rPr>
          <w:rFonts w:ascii="宋体" w:hAnsi="宋体"/>
          <w:szCs w:val="21"/>
        </w:rPr>
      </w:pPr>
      <w:r>
        <w:rPr>
          <w:rFonts w:hint="eastAsia" w:ascii="宋体" w:hAnsi="宋体"/>
          <w:szCs w:val="21"/>
        </w:rPr>
        <w:t>采购人或采购代理机构按招标公告中规定的时间和地点组织开标；</w:t>
      </w:r>
    </w:p>
    <w:p>
      <w:pPr>
        <w:numPr>
          <w:ilvl w:val="1"/>
          <w:numId w:val="23"/>
        </w:numPr>
        <w:spacing w:line="440" w:lineRule="exact"/>
        <w:ind w:firstLine="480" w:firstLineChars="200"/>
        <w:rPr>
          <w:rFonts w:ascii="宋体" w:hAnsi="宋体"/>
          <w:szCs w:val="21"/>
        </w:rPr>
      </w:pPr>
      <w:r>
        <w:rPr>
          <w:rFonts w:hint="eastAsia" w:ascii="宋体" w:hAnsi="宋体"/>
          <w:szCs w:val="21"/>
        </w:rPr>
        <w:t>投标人应派代表参加开标会议。</w:t>
      </w:r>
    </w:p>
    <w:p>
      <w:pPr>
        <w:numPr>
          <w:ilvl w:val="2"/>
          <w:numId w:val="24"/>
        </w:numPr>
        <w:spacing w:line="440" w:lineRule="exact"/>
        <w:ind w:firstLine="482" w:firstLineChars="200"/>
        <w:rPr>
          <w:rFonts w:ascii="宋体" w:hAnsi="宋体"/>
          <w:b/>
          <w:bCs/>
          <w:color w:val="0000CC"/>
          <w:szCs w:val="21"/>
        </w:rPr>
      </w:pPr>
      <w:r>
        <w:rPr>
          <w:rFonts w:hint="eastAsia" w:ascii="宋体" w:hAnsi="宋体"/>
          <w:b/>
          <w:bCs/>
          <w:color w:val="0000CC"/>
          <w:szCs w:val="21"/>
        </w:rPr>
        <w:t>法定代表人参加开标会议的，需携带法定代表人身份证原件,人证相符，准予办理签到手续；</w:t>
      </w:r>
    </w:p>
    <w:p>
      <w:pPr>
        <w:numPr>
          <w:ilvl w:val="2"/>
          <w:numId w:val="24"/>
        </w:numPr>
        <w:spacing w:line="440" w:lineRule="exact"/>
        <w:ind w:firstLine="482" w:firstLineChars="200"/>
        <w:rPr>
          <w:rFonts w:ascii="宋体" w:hAnsi="宋体"/>
          <w:b/>
          <w:bCs/>
          <w:color w:val="0000CC"/>
          <w:szCs w:val="21"/>
        </w:rPr>
      </w:pPr>
      <w:r>
        <w:rPr>
          <w:rFonts w:hint="eastAsia" w:ascii="宋体" w:hAnsi="宋体"/>
          <w:b/>
          <w:bCs/>
          <w:color w:val="0000CC"/>
          <w:szCs w:val="21"/>
        </w:rPr>
        <w:t>委托代理人参加开标会议的，需携带委托代理人身份证原件、授权委托书，人证相符，准予办理签到手续。</w:t>
      </w:r>
    </w:p>
    <w:p>
      <w:pPr>
        <w:numPr>
          <w:ilvl w:val="1"/>
          <w:numId w:val="23"/>
        </w:numPr>
        <w:spacing w:line="440" w:lineRule="exact"/>
        <w:ind w:firstLine="480" w:firstLineChars="200"/>
        <w:rPr>
          <w:rFonts w:ascii="宋体" w:hAnsi="宋体"/>
          <w:szCs w:val="21"/>
        </w:rPr>
      </w:pPr>
      <w:r>
        <w:rPr>
          <w:rFonts w:hint="eastAsia" w:ascii="宋体" w:hAnsi="宋体"/>
          <w:szCs w:val="21"/>
        </w:rPr>
        <w:t>开标由采购人或者采购代理机构主持，邀请投标人参加。主持人宣布开标程序和注意事项；</w:t>
      </w:r>
    </w:p>
    <w:p>
      <w:pPr>
        <w:numPr>
          <w:ilvl w:val="1"/>
          <w:numId w:val="23"/>
        </w:numPr>
        <w:spacing w:line="440" w:lineRule="exact"/>
        <w:ind w:firstLine="480" w:firstLineChars="200"/>
        <w:rPr>
          <w:rFonts w:ascii="宋体" w:hAnsi="宋体"/>
          <w:szCs w:val="21"/>
        </w:rPr>
      </w:pPr>
      <w:r>
        <w:rPr>
          <w:rFonts w:hint="eastAsia" w:ascii="宋体" w:hAnsi="宋体"/>
          <w:color w:val="000000"/>
          <w:szCs w:val="21"/>
          <w:shd w:val="clear" w:color="auto" w:fill="FFFFFF"/>
        </w:rPr>
        <w:t>开标时，由投标人或者其推选的代表检查投标文件的密封情况；</w:t>
      </w:r>
      <w:r>
        <w:rPr>
          <w:rFonts w:hint="eastAsia" w:ascii="宋体" w:hAnsi="宋体"/>
          <w:szCs w:val="21"/>
        </w:rPr>
        <w:t>经确认无误后，由采购人或者采购代理机构工作人员当众拆封，宣布</w:t>
      </w:r>
      <w:r>
        <w:rPr>
          <w:rFonts w:hint="eastAsia" w:ascii="宋体" w:hAnsi="宋体"/>
          <w:szCs w:val="21"/>
          <w:u w:val="single"/>
        </w:rPr>
        <w:t>开标一览表的</w:t>
      </w:r>
      <w:r>
        <w:rPr>
          <w:rFonts w:hint="eastAsia" w:ascii="宋体" w:hAnsi="宋体"/>
          <w:szCs w:val="21"/>
        </w:rPr>
        <w:t>内容。</w:t>
      </w:r>
    </w:p>
    <w:p>
      <w:pPr>
        <w:numPr>
          <w:ilvl w:val="1"/>
          <w:numId w:val="23"/>
        </w:numPr>
        <w:spacing w:line="440" w:lineRule="exact"/>
        <w:ind w:firstLine="480" w:firstLineChars="200"/>
        <w:rPr>
          <w:rFonts w:ascii="宋体" w:hAnsi="宋体"/>
          <w:szCs w:val="21"/>
        </w:rPr>
      </w:pPr>
      <w:r>
        <w:rPr>
          <w:rFonts w:hint="eastAsia" w:ascii="宋体" w:hAnsi="宋体"/>
          <w:color w:val="000000"/>
          <w:szCs w:val="21"/>
          <w:shd w:val="clear" w:color="auto" w:fill="FFFFFF"/>
        </w:rPr>
        <w:t>开标过程应当由采购人或者采购代理机构负责记录，由参加开标的各投标人代表和相关工作人员签字确认。</w:t>
      </w:r>
    </w:p>
    <w:p>
      <w:pPr>
        <w:numPr>
          <w:ilvl w:val="1"/>
          <w:numId w:val="23"/>
        </w:numPr>
        <w:spacing w:line="440" w:lineRule="exact"/>
        <w:ind w:firstLine="480" w:firstLineChars="200"/>
        <w:rPr>
          <w:rFonts w:ascii="宋体" w:hAnsi="宋体"/>
          <w:szCs w:val="21"/>
        </w:rPr>
      </w:pPr>
      <w:r>
        <w:rPr>
          <w:rFonts w:hint="eastAsia" w:ascii="宋体" w:hAnsi="宋体"/>
          <w:szCs w:val="21"/>
        </w:rPr>
        <w:t>投标人代表对开标过程和开标记录有疑议的，应当在开标现场提出，采购人当场作出答复，并记录。投标人未当场提出的，视同认可开标结果。</w:t>
      </w:r>
    </w:p>
    <w:p>
      <w:pPr>
        <w:numPr>
          <w:ilvl w:val="1"/>
          <w:numId w:val="23"/>
        </w:numPr>
        <w:spacing w:line="440" w:lineRule="exact"/>
        <w:ind w:firstLine="480" w:firstLineChars="200"/>
        <w:rPr>
          <w:rFonts w:ascii="宋体" w:hAnsi="宋体"/>
          <w:szCs w:val="21"/>
        </w:rPr>
      </w:pPr>
      <w:r>
        <w:rPr>
          <w:rFonts w:hint="eastAsia" w:ascii="宋体" w:hAnsi="宋体"/>
          <w:szCs w:val="21"/>
        </w:rPr>
        <w:t>开标结束后，投标人代表应在指定地点等待采购代理机构的安排，不得擅自离开，否则，因此产生的一切不利影响均由投标人自行承担；</w:t>
      </w:r>
    </w:p>
    <w:p>
      <w:pPr>
        <w:numPr>
          <w:ilvl w:val="1"/>
          <w:numId w:val="11"/>
        </w:numPr>
        <w:spacing w:line="440" w:lineRule="exact"/>
        <w:ind w:firstLine="482" w:firstLineChars="200"/>
        <w:rPr>
          <w:rFonts w:ascii="宋体" w:hAnsi="宋体"/>
          <w:b/>
          <w:bCs/>
          <w:szCs w:val="21"/>
        </w:rPr>
      </w:pPr>
      <w:r>
        <w:rPr>
          <w:rFonts w:hint="eastAsia" w:ascii="宋体" w:hAnsi="宋体"/>
          <w:b/>
          <w:bCs/>
          <w:szCs w:val="21"/>
        </w:rPr>
        <w:t>投标人在投标时有下列情形之一的，采购代理机构将拒绝接受其投标文件：</w:t>
      </w:r>
    </w:p>
    <w:p>
      <w:pPr>
        <w:numPr>
          <w:ilvl w:val="1"/>
          <w:numId w:val="25"/>
        </w:numPr>
        <w:tabs>
          <w:tab w:val="left" w:pos="1620"/>
        </w:tabs>
        <w:spacing w:line="440" w:lineRule="exact"/>
        <w:ind w:firstLine="480" w:firstLineChars="200"/>
        <w:rPr>
          <w:rFonts w:ascii="宋体" w:hAnsi="宋体"/>
          <w:szCs w:val="21"/>
        </w:rPr>
      </w:pPr>
      <w:r>
        <w:rPr>
          <w:rFonts w:hint="eastAsia" w:ascii="宋体" w:hAnsi="宋体"/>
          <w:szCs w:val="21"/>
        </w:rPr>
        <w:t>在招标文件规定的投标截止时间之后递交投标文件的；</w:t>
      </w:r>
    </w:p>
    <w:p>
      <w:pPr>
        <w:numPr>
          <w:ilvl w:val="1"/>
          <w:numId w:val="25"/>
        </w:numPr>
        <w:tabs>
          <w:tab w:val="left" w:pos="1620"/>
        </w:tabs>
        <w:spacing w:line="440" w:lineRule="exact"/>
        <w:ind w:firstLine="480" w:firstLineChars="200"/>
        <w:rPr>
          <w:rFonts w:ascii="宋体" w:hAnsi="宋体"/>
          <w:szCs w:val="21"/>
        </w:rPr>
      </w:pPr>
      <w:r>
        <w:rPr>
          <w:rFonts w:hint="eastAsia" w:ascii="宋体" w:hAnsi="宋体"/>
          <w:szCs w:val="21"/>
        </w:rPr>
        <w:t>投标文件未按招标文件规定密封的；</w:t>
      </w:r>
    </w:p>
    <w:p>
      <w:pPr>
        <w:numPr>
          <w:ilvl w:val="1"/>
          <w:numId w:val="25"/>
        </w:numPr>
        <w:tabs>
          <w:tab w:val="left" w:pos="1620"/>
        </w:tabs>
        <w:spacing w:line="440" w:lineRule="exact"/>
        <w:ind w:firstLine="480" w:firstLineChars="200"/>
        <w:rPr>
          <w:rFonts w:ascii="宋体" w:hAnsi="宋体"/>
          <w:szCs w:val="21"/>
        </w:rPr>
      </w:pPr>
      <w:r>
        <w:rPr>
          <w:rFonts w:hint="eastAsia" w:ascii="宋体" w:hAnsi="宋体"/>
          <w:szCs w:val="21"/>
        </w:rPr>
        <w:t>未购买招标文件参加投标的；</w:t>
      </w:r>
    </w:p>
    <w:p>
      <w:pPr>
        <w:numPr>
          <w:ilvl w:val="1"/>
          <w:numId w:val="25"/>
        </w:numPr>
        <w:tabs>
          <w:tab w:val="left" w:pos="1620"/>
        </w:tabs>
        <w:spacing w:line="440" w:lineRule="exact"/>
        <w:ind w:firstLine="480" w:firstLineChars="200"/>
        <w:rPr>
          <w:rFonts w:ascii="宋体" w:hAnsi="宋体"/>
          <w:szCs w:val="21"/>
        </w:rPr>
      </w:pPr>
      <w:r>
        <w:rPr>
          <w:rFonts w:hint="eastAsia" w:ascii="宋体" w:hAnsi="宋体"/>
          <w:szCs w:val="21"/>
        </w:rPr>
        <w:t>一个投标人不止递交一套同一合同项下的投标文件的。</w:t>
      </w:r>
    </w:p>
    <w:p>
      <w:pPr>
        <w:numPr>
          <w:ilvl w:val="1"/>
          <w:numId w:val="11"/>
        </w:numPr>
        <w:spacing w:line="440" w:lineRule="exact"/>
        <w:ind w:firstLine="482" w:firstLineChars="200"/>
        <w:rPr>
          <w:rFonts w:ascii="宋体" w:hAnsi="宋体"/>
          <w:b/>
          <w:bCs/>
          <w:szCs w:val="21"/>
        </w:rPr>
      </w:pPr>
      <w:r>
        <w:rPr>
          <w:rFonts w:hint="eastAsia" w:ascii="宋体" w:hAnsi="宋体"/>
          <w:b/>
          <w:bCs/>
          <w:szCs w:val="21"/>
        </w:rPr>
        <w:t>资格审查</w:t>
      </w:r>
    </w:p>
    <w:p>
      <w:pPr>
        <w:numPr>
          <w:ilvl w:val="1"/>
          <w:numId w:val="26"/>
        </w:numPr>
        <w:tabs>
          <w:tab w:val="left" w:pos="1620"/>
        </w:tabs>
        <w:spacing w:line="440" w:lineRule="exact"/>
        <w:ind w:firstLine="480" w:firstLineChars="200"/>
        <w:rPr>
          <w:rFonts w:ascii="宋体" w:hAnsi="宋体"/>
          <w:kern w:val="0"/>
          <w:szCs w:val="21"/>
        </w:rPr>
      </w:pPr>
      <w:r>
        <w:rPr>
          <w:rFonts w:hint="eastAsia" w:ascii="宋体" w:hAnsi="宋体"/>
          <w:kern w:val="0"/>
          <w:szCs w:val="21"/>
        </w:rPr>
        <w:t>开标结束后，采购人或者采购代理机构依法对投标人的资格进行审查。</w:t>
      </w:r>
    </w:p>
    <w:p>
      <w:pPr>
        <w:numPr>
          <w:ilvl w:val="1"/>
          <w:numId w:val="26"/>
        </w:numPr>
        <w:tabs>
          <w:tab w:val="left" w:pos="1620"/>
        </w:tabs>
        <w:spacing w:line="440" w:lineRule="exact"/>
        <w:ind w:firstLine="480" w:firstLineChars="200"/>
        <w:rPr>
          <w:rFonts w:ascii="宋体" w:hAnsi="宋体"/>
          <w:kern w:val="0"/>
          <w:szCs w:val="21"/>
        </w:rPr>
      </w:pPr>
      <w:r>
        <w:rPr>
          <w:rFonts w:hint="eastAsia" w:ascii="宋体" w:hAnsi="宋体"/>
          <w:szCs w:val="21"/>
        </w:rPr>
        <w:t>资格性审查。采购人或者采购代理机构审查每个投标人提交的资格证明材料是否齐全、完整、有效，不具备招标文件中规定的资格要求的投标人投标无效。</w:t>
      </w:r>
    </w:p>
    <w:p>
      <w:pPr>
        <w:numPr>
          <w:ilvl w:val="1"/>
          <w:numId w:val="26"/>
        </w:numPr>
        <w:tabs>
          <w:tab w:val="left" w:pos="1620"/>
        </w:tabs>
        <w:spacing w:line="440" w:lineRule="exact"/>
        <w:ind w:firstLine="480" w:firstLineChars="200"/>
        <w:rPr>
          <w:rFonts w:ascii="宋体" w:hAnsi="宋体"/>
          <w:kern w:val="0"/>
          <w:szCs w:val="21"/>
        </w:rPr>
      </w:pPr>
      <w:r>
        <w:rPr>
          <w:rFonts w:hint="eastAsia" w:ascii="宋体" w:hAnsi="宋体"/>
          <w:szCs w:val="21"/>
        </w:rPr>
        <w:t>资格性审查的内容包括：</w:t>
      </w:r>
    </w:p>
    <w:p>
      <w:pPr>
        <w:spacing w:line="440" w:lineRule="exact"/>
        <w:ind w:firstLine="480" w:firstLineChars="200"/>
        <w:rPr>
          <w:rFonts w:ascii="宋体" w:hAnsi="宋体"/>
          <w:color w:val="0000CC"/>
          <w:szCs w:val="21"/>
        </w:rPr>
      </w:pPr>
      <w:r>
        <w:rPr>
          <w:rFonts w:hint="eastAsia" w:ascii="宋体" w:hAnsi="宋体"/>
          <w:color w:val="0000CC"/>
          <w:szCs w:val="21"/>
        </w:rPr>
        <w:t>招标文件“第五章投标文件资格证明文件”中规定的投标人资格条件。</w:t>
      </w:r>
    </w:p>
    <w:p>
      <w:pPr>
        <w:numPr>
          <w:ilvl w:val="1"/>
          <w:numId w:val="11"/>
        </w:numPr>
        <w:spacing w:line="440" w:lineRule="exact"/>
        <w:ind w:firstLine="482" w:firstLineChars="200"/>
        <w:rPr>
          <w:rFonts w:ascii="宋体" w:hAnsi="宋体"/>
          <w:b/>
          <w:bCs/>
          <w:szCs w:val="21"/>
        </w:rPr>
      </w:pPr>
      <w:r>
        <w:rPr>
          <w:rFonts w:hint="eastAsia" w:ascii="宋体" w:hAnsi="宋体"/>
          <w:b/>
          <w:bCs/>
          <w:szCs w:val="21"/>
        </w:rPr>
        <w:t>评标委员会的组成：见投标人须知前附表。</w:t>
      </w:r>
    </w:p>
    <w:p>
      <w:pPr>
        <w:numPr>
          <w:ilvl w:val="1"/>
          <w:numId w:val="11"/>
        </w:numPr>
        <w:spacing w:line="440" w:lineRule="exact"/>
        <w:ind w:firstLine="482" w:firstLineChars="200"/>
        <w:rPr>
          <w:rFonts w:ascii="宋体" w:hAnsi="宋体"/>
          <w:b/>
          <w:bCs/>
          <w:szCs w:val="21"/>
        </w:rPr>
      </w:pPr>
      <w:r>
        <w:rPr>
          <w:rFonts w:hint="eastAsia" w:ascii="宋体" w:hAnsi="宋体"/>
          <w:b/>
          <w:bCs/>
          <w:szCs w:val="21"/>
        </w:rPr>
        <w:t>评标委员会负责具体评标事务，并独立履行下列职责：</w:t>
      </w:r>
    </w:p>
    <w:p>
      <w:pPr>
        <w:pStyle w:val="92"/>
        <w:numPr>
          <w:ilvl w:val="0"/>
          <w:numId w:val="27"/>
        </w:numPr>
        <w:tabs>
          <w:tab w:val="left" w:pos="0"/>
          <w:tab w:val="clear" w:pos="709"/>
        </w:tabs>
        <w:spacing w:line="440" w:lineRule="exact"/>
        <w:ind w:firstLine="420" w:firstLineChars="200"/>
        <w:rPr>
          <w:szCs w:val="21"/>
        </w:rPr>
      </w:pPr>
      <w:r>
        <w:rPr>
          <w:rFonts w:hint="eastAsia"/>
          <w:szCs w:val="21"/>
        </w:rPr>
        <w:t>审查、评价投标文件是否符合招标文件的商务、技术等实质性要求；</w:t>
      </w:r>
    </w:p>
    <w:p>
      <w:pPr>
        <w:pStyle w:val="92"/>
        <w:numPr>
          <w:ilvl w:val="0"/>
          <w:numId w:val="27"/>
        </w:numPr>
        <w:tabs>
          <w:tab w:val="left" w:pos="0"/>
          <w:tab w:val="clear" w:pos="709"/>
        </w:tabs>
        <w:spacing w:line="440" w:lineRule="exact"/>
        <w:ind w:firstLine="420" w:firstLineChars="200"/>
        <w:rPr>
          <w:szCs w:val="21"/>
        </w:rPr>
      </w:pPr>
      <w:r>
        <w:rPr>
          <w:rFonts w:hint="eastAsia"/>
          <w:szCs w:val="21"/>
        </w:rPr>
        <w:t>要求投标人对投标文件有关事项作出澄清或者说明；</w:t>
      </w:r>
    </w:p>
    <w:p>
      <w:pPr>
        <w:pStyle w:val="92"/>
        <w:numPr>
          <w:ilvl w:val="0"/>
          <w:numId w:val="27"/>
        </w:numPr>
        <w:tabs>
          <w:tab w:val="left" w:pos="0"/>
          <w:tab w:val="clear" w:pos="709"/>
        </w:tabs>
        <w:spacing w:line="440" w:lineRule="exact"/>
        <w:ind w:firstLine="420" w:firstLineChars="200"/>
        <w:rPr>
          <w:szCs w:val="21"/>
        </w:rPr>
      </w:pPr>
      <w:r>
        <w:rPr>
          <w:rFonts w:hint="eastAsia"/>
          <w:szCs w:val="21"/>
        </w:rPr>
        <w:t>对投标文件进行比较和评价；</w:t>
      </w:r>
    </w:p>
    <w:p>
      <w:pPr>
        <w:pStyle w:val="92"/>
        <w:numPr>
          <w:ilvl w:val="0"/>
          <w:numId w:val="27"/>
        </w:numPr>
        <w:tabs>
          <w:tab w:val="left" w:pos="0"/>
          <w:tab w:val="clear" w:pos="709"/>
        </w:tabs>
        <w:spacing w:line="440" w:lineRule="exact"/>
        <w:ind w:firstLine="420" w:firstLineChars="200"/>
        <w:rPr>
          <w:szCs w:val="21"/>
        </w:rPr>
      </w:pPr>
      <w:r>
        <w:rPr>
          <w:rFonts w:hint="eastAsia"/>
          <w:szCs w:val="21"/>
        </w:rPr>
        <w:t>确定中标候选人名单或根据采购人委托直接确定中标人；</w:t>
      </w:r>
    </w:p>
    <w:p>
      <w:pPr>
        <w:pStyle w:val="92"/>
        <w:numPr>
          <w:ilvl w:val="0"/>
          <w:numId w:val="27"/>
        </w:numPr>
        <w:tabs>
          <w:tab w:val="left" w:pos="0"/>
          <w:tab w:val="clear" w:pos="709"/>
        </w:tabs>
        <w:spacing w:line="440" w:lineRule="exact"/>
        <w:ind w:firstLine="420" w:firstLineChars="200"/>
        <w:rPr>
          <w:szCs w:val="21"/>
        </w:rPr>
      </w:pPr>
      <w:r>
        <w:rPr>
          <w:rFonts w:hint="eastAsia"/>
          <w:szCs w:val="21"/>
        </w:rPr>
        <w:t>向采购人、采购代理机构或者有关部门报告评标中发现的违法行为。</w:t>
      </w:r>
    </w:p>
    <w:p>
      <w:pPr>
        <w:spacing w:line="440" w:lineRule="exact"/>
        <w:ind w:firstLine="480" w:firstLineChars="200"/>
        <w:rPr>
          <w:rFonts w:ascii="宋体" w:hAnsi="宋体"/>
          <w:szCs w:val="21"/>
        </w:rPr>
      </w:pPr>
      <w:r>
        <w:rPr>
          <w:rFonts w:hint="eastAsia" w:ascii="宋体" w:hAnsi="宋体"/>
          <w:szCs w:val="21"/>
        </w:rPr>
        <w:t>评标委员会成员对需要共同认定的事项存在争议的，应当按照少数服从多数的原则作出结论。持不同意见的评标委员会成员应当在评标报告上签署不同意见及理由，否则视为同意评标报告。</w:t>
      </w:r>
    </w:p>
    <w:p>
      <w:pPr>
        <w:numPr>
          <w:ilvl w:val="1"/>
          <w:numId w:val="11"/>
        </w:numPr>
        <w:spacing w:line="440" w:lineRule="exact"/>
        <w:ind w:firstLine="482" w:firstLineChars="200"/>
        <w:rPr>
          <w:rFonts w:ascii="宋体" w:hAnsi="宋体"/>
          <w:b/>
          <w:bCs/>
          <w:szCs w:val="21"/>
        </w:rPr>
      </w:pPr>
      <w:r>
        <w:rPr>
          <w:rFonts w:hint="eastAsia" w:ascii="宋体" w:hAnsi="宋体"/>
          <w:b/>
          <w:bCs/>
          <w:szCs w:val="21"/>
        </w:rPr>
        <w:t xml:space="preserve">对投标文件的符合性审查 </w:t>
      </w:r>
    </w:p>
    <w:p>
      <w:pPr>
        <w:numPr>
          <w:ilvl w:val="1"/>
          <w:numId w:val="28"/>
        </w:numPr>
        <w:spacing w:line="440" w:lineRule="exact"/>
        <w:ind w:firstLine="480" w:firstLineChars="200"/>
        <w:rPr>
          <w:rFonts w:ascii="宋体" w:hAnsi="宋体"/>
          <w:szCs w:val="21"/>
        </w:rPr>
      </w:pPr>
      <w:r>
        <w:rPr>
          <w:rFonts w:hint="eastAsia" w:ascii="宋体" w:hAnsi="宋体"/>
          <w:szCs w:val="21"/>
        </w:rPr>
        <w:t>评标委员会对符合资格的投标人的投标文件进行符合性审查，以确定其是否满足招标文件的实质性要求。</w:t>
      </w:r>
    </w:p>
    <w:p>
      <w:pPr>
        <w:spacing w:line="440" w:lineRule="exact"/>
        <w:ind w:firstLine="480" w:firstLineChars="200"/>
        <w:rPr>
          <w:rFonts w:ascii="宋体" w:hAnsi="宋体"/>
          <w:color w:val="0000CC"/>
          <w:szCs w:val="21"/>
        </w:rPr>
      </w:pPr>
      <w:r>
        <w:rPr>
          <w:rFonts w:hint="eastAsia" w:ascii="宋体" w:hAnsi="宋体"/>
          <w:color w:val="0000CC"/>
          <w:szCs w:val="21"/>
        </w:rPr>
        <w:t>符合性审查的内容包括：</w:t>
      </w:r>
    </w:p>
    <w:p>
      <w:pPr>
        <w:numPr>
          <w:ilvl w:val="0"/>
          <w:numId w:val="29"/>
        </w:numPr>
        <w:spacing w:line="440" w:lineRule="exact"/>
        <w:ind w:firstLine="480" w:firstLineChars="200"/>
        <w:rPr>
          <w:rFonts w:ascii="宋体" w:hAnsi="宋体"/>
          <w:szCs w:val="21"/>
        </w:rPr>
      </w:pPr>
      <w:r>
        <w:rPr>
          <w:rFonts w:hint="eastAsia" w:ascii="宋体" w:hAnsi="宋体"/>
          <w:szCs w:val="21"/>
        </w:rPr>
        <w:t>报价超过招标文件中规定的项目预算金额或者最高限价的；</w:t>
      </w:r>
    </w:p>
    <w:p>
      <w:pPr>
        <w:numPr>
          <w:ilvl w:val="0"/>
          <w:numId w:val="29"/>
        </w:numPr>
        <w:spacing w:line="440" w:lineRule="exact"/>
        <w:ind w:firstLine="480" w:firstLineChars="200"/>
        <w:rPr>
          <w:rFonts w:ascii="宋体" w:hAnsi="宋体"/>
          <w:szCs w:val="21"/>
        </w:rPr>
      </w:pPr>
      <w:r>
        <w:rPr>
          <w:rFonts w:hint="eastAsia" w:ascii="宋体" w:hAnsi="宋体"/>
          <w:szCs w:val="21"/>
        </w:rPr>
        <w:t>投标文件未按招标文件要求签字、盖章的；</w:t>
      </w:r>
    </w:p>
    <w:p>
      <w:pPr>
        <w:numPr>
          <w:ilvl w:val="0"/>
          <w:numId w:val="29"/>
        </w:numPr>
        <w:spacing w:line="440" w:lineRule="exact"/>
        <w:ind w:firstLine="480" w:firstLineChars="200"/>
        <w:rPr>
          <w:rFonts w:ascii="宋体" w:hAnsi="宋体"/>
          <w:szCs w:val="21"/>
        </w:rPr>
      </w:pPr>
      <w:r>
        <w:rPr>
          <w:rFonts w:hint="eastAsia" w:ascii="宋体" w:hAnsi="宋体"/>
          <w:szCs w:val="21"/>
        </w:rPr>
        <w:t>投标文件格式不符合招标文件中投标文件格式要求的；</w:t>
      </w:r>
    </w:p>
    <w:p>
      <w:pPr>
        <w:numPr>
          <w:ilvl w:val="0"/>
          <w:numId w:val="29"/>
        </w:numPr>
        <w:spacing w:line="440" w:lineRule="exact"/>
        <w:ind w:firstLine="480" w:firstLineChars="200"/>
        <w:rPr>
          <w:rFonts w:ascii="宋体" w:hAnsi="宋体"/>
          <w:szCs w:val="21"/>
        </w:rPr>
      </w:pPr>
      <w:r>
        <w:rPr>
          <w:rFonts w:hint="eastAsia" w:ascii="宋体" w:hAnsi="宋体"/>
          <w:szCs w:val="21"/>
        </w:rPr>
        <w:t>不响应招标文件商务要求的；</w:t>
      </w:r>
    </w:p>
    <w:p>
      <w:pPr>
        <w:numPr>
          <w:ilvl w:val="0"/>
          <w:numId w:val="29"/>
        </w:numPr>
        <w:spacing w:line="440" w:lineRule="exact"/>
        <w:ind w:firstLine="480" w:firstLineChars="200"/>
        <w:rPr>
          <w:rFonts w:ascii="宋体" w:hAnsi="宋体"/>
          <w:szCs w:val="21"/>
        </w:rPr>
      </w:pPr>
      <w:r>
        <w:rPr>
          <w:rFonts w:hint="eastAsia" w:ascii="宋体" w:hAnsi="宋体"/>
          <w:szCs w:val="21"/>
        </w:rPr>
        <w:t>不响应招标文件技术指标要求的；</w:t>
      </w:r>
    </w:p>
    <w:p>
      <w:pPr>
        <w:numPr>
          <w:ilvl w:val="0"/>
          <w:numId w:val="29"/>
        </w:numPr>
        <w:spacing w:line="440" w:lineRule="exact"/>
        <w:ind w:firstLine="480" w:firstLineChars="200"/>
        <w:rPr>
          <w:rFonts w:ascii="宋体" w:hAnsi="宋体"/>
          <w:szCs w:val="21"/>
        </w:rPr>
      </w:pPr>
      <w:r>
        <w:rPr>
          <w:rFonts w:hint="eastAsia" w:ascii="宋体" w:hAnsi="宋体"/>
          <w:szCs w:val="21"/>
        </w:rPr>
        <w:t>投标文件中出现有选择性报价的；</w:t>
      </w:r>
    </w:p>
    <w:p>
      <w:pPr>
        <w:numPr>
          <w:ilvl w:val="0"/>
          <w:numId w:val="29"/>
        </w:numPr>
        <w:spacing w:line="440" w:lineRule="exact"/>
        <w:ind w:firstLine="480" w:firstLineChars="200"/>
        <w:rPr>
          <w:rFonts w:ascii="宋体" w:hAnsi="宋体"/>
          <w:szCs w:val="21"/>
        </w:rPr>
      </w:pPr>
      <w:r>
        <w:rPr>
          <w:rFonts w:hint="eastAsia" w:ascii="宋体" w:hAnsi="宋体"/>
          <w:szCs w:val="21"/>
        </w:rPr>
        <w:t>投标文件含有采购人不能接受的附加条件的；</w:t>
      </w:r>
    </w:p>
    <w:p>
      <w:pPr>
        <w:numPr>
          <w:ilvl w:val="0"/>
          <w:numId w:val="29"/>
        </w:numPr>
        <w:spacing w:line="440" w:lineRule="exact"/>
        <w:ind w:firstLine="480" w:firstLineChars="200"/>
        <w:rPr>
          <w:rFonts w:ascii="宋体" w:hAnsi="宋体"/>
          <w:szCs w:val="21"/>
        </w:rPr>
      </w:pPr>
      <w:r>
        <w:rPr>
          <w:rFonts w:hint="eastAsia" w:ascii="宋体" w:hAnsi="宋体"/>
          <w:szCs w:val="21"/>
        </w:rPr>
        <w:t>法律、法规和招标文件规定的其他无效情形。</w:t>
      </w:r>
    </w:p>
    <w:p>
      <w:pPr>
        <w:spacing w:line="440" w:lineRule="exact"/>
        <w:ind w:firstLine="480" w:firstLineChars="200"/>
        <w:rPr>
          <w:rFonts w:ascii="宋体" w:hAnsi="宋体"/>
          <w:color w:val="0000CC"/>
          <w:szCs w:val="21"/>
        </w:rPr>
      </w:pPr>
      <w:r>
        <w:rPr>
          <w:rFonts w:hint="eastAsia" w:ascii="宋体" w:hAnsi="宋体"/>
          <w:color w:val="0000CC"/>
          <w:szCs w:val="21"/>
        </w:rPr>
        <w:t>投标人存在以上情况之一的，投标无效。</w:t>
      </w:r>
    </w:p>
    <w:p>
      <w:pPr>
        <w:numPr>
          <w:ilvl w:val="1"/>
          <w:numId w:val="28"/>
        </w:numPr>
        <w:spacing w:line="440" w:lineRule="exact"/>
        <w:ind w:firstLine="480" w:firstLineChars="200"/>
        <w:rPr>
          <w:rFonts w:ascii="宋体" w:hAnsi="宋体"/>
          <w:szCs w:val="21"/>
        </w:rPr>
      </w:pPr>
      <w:r>
        <w:rPr>
          <w:rFonts w:hint="eastAsia" w:ascii="宋体" w:hAnsi="宋体"/>
          <w:szCs w:val="21"/>
        </w:rPr>
        <w:t>对资格性审查合格的投标人递交的投标文件，依据招标文件的规定，从投标文件的有效性、完整性和对招标文件的响应程度，检查投标文件是否对招标文件的实质性要求作出了响应。</w:t>
      </w:r>
    </w:p>
    <w:p>
      <w:pPr>
        <w:numPr>
          <w:ilvl w:val="1"/>
          <w:numId w:val="28"/>
        </w:numPr>
        <w:spacing w:line="440" w:lineRule="exact"/>
        <w:ind w:firstLine="480" w:firstLineChars="200"/>
        <w:rPr>
          <w:rFonts w:ascii="宋体" w:hAnsi="宋体"/>
          <w:szCs w:val="21"/>
        </w:rPr>
      </w:pPr>
      <w:r>
        <w:rPr>
          <w:rFonts w:hint="eastAsia" w:ascii="宋体" w:hAnsi="宋体"/>
          <w:szCs w:val="21"/>
        </w:rPr>
        <w:t>实质性响应的投标是指与招标文件的全部条款、条件和规格相符，没有重大偏离。</w:t>
      </w:r>
    </w:p>
    <w:p>
      <w:pPr>
        <w:numPr>
          <w:ilvl w:val="1"/>
          <w:numId w:val="28"/>
        </w:numPr>
        <w:spacing w:line="440" w:lineRule="exact"/>
        <w:ind w:firstLine="480" w:firstLineChars="200"/>
        <w:rPr>
          <w:rFonts w:ascii="宋体" w:hAnsi="宋体"/>
          <w:szCs w:val="21"/>
        </w:rPr>
      </w:pPr>
      <w:r>
        <w:rPr>
          <w:rFonts w:hint="eastAsia" w:ascii="宋体" w:hAnsi="宋体"/>
          <w:szCs w:val="21"/>
        </w:rPr>
        <w:t>重大偏离是指投标人所投标的范围、质量、服务等明显不能满足招标文件的要求，或者实质上与招标文件不一致，而且限制了采购人的权利或投标人的义务，纠正这些偏离将对其他实质性响应要求的投标人的竞争地位产生不公正的影响。重大偏离的认定须经评标委员会三分之二以上同意。</w:t>
      </w:r>
    </w:p>
    <w:p>
      <w:pPr>
        <w:numPr>
          <w:ilvl w:val="1"/>
          <w:numId w:val="28"/>
        </w:numPr>
        <w:spacing w:line="440" w:lineRule="exact"/>
        <w:ind w:firstLine="480" w:firstLineChars="200"/>
        <w:rPr>
          <w:rFonts w:ascii="宋体" w:hAnsi="宋体"/>
          <w:szCs w:val="21"/>
        </w:rPr>
      </w:pPr>
      <w:r>
        <w:rPr>
          <w:rFonts w:hint="eastAsia" w:ascii="宋体" w:hAnsi="宋体"/>
          <w:szCs w:val="21"/>
        </w:rPr>
        <w:t>如果投标文件实质上没有响应招标文件的要求，将作为无效投标处理，投标人不得再对投标文件进行任何修正从而使其投标成为实质上响应的投标。</w:t>
      </w:r>
    </w:p>
    <w:p>
      <w:pPr>
        <w:numPr>
          <w:ilvl w:val="1"/>
          <w:numId w:val="11"/>
        </w:numPr>
        <w:spacing w:line="440" w:lineRule="exact"/>
        <w:ind w:firstLine="482" w:firstLineChars="200"/>
        <w:rPr>
          <w:rFonts w:ascii="宋体" w:hAnsi="宋体"/>
          <w:b/>
          <w:bCs/>
          <w:szCs w:val="21"/>
        </w:rPr>
      </w:pPr>
      <w:r>
        <w:rPr>
          <w:rFonts w:hint="eastAsia" w:ascii="宋体" w:hAnsi="宋体"/>
          <w:b/>
          <w:bCs/>
          <w:szCs w:val="21"/>
        </w:rPr>
        <w:t>有下列情形之一的，视为投标人串通投标，其投标无效：</w:t>
      </w:r>
    </w:p>
    <w:p>
      <w:pPr>
        <w:numPr>
          <w:ilvl w:val="0"/>
          <w:numId w:val="30"/>
        </w:numPr>
        <w:spacing w:line="440" w:lineRule="exact"/>
        <w:ind w:firstLine="480" w:firstLineChars="200"/>
        <w:rPr>
          <w:rFonts w:ascii="宋体" w:hAnsi="宋体"/>
          <w:szCs w:val="21"/>
        </w:rPr>
      </w:pPr>
      <w:r>
        <w:rPr>
          <w:rFonts w:hint="eastAsia" w:ascii="宋体" w:hAnsi="宋体"/>
          <w:szCs w:val="21"/>
        </w:rPr>
        <w:t>不同投标人的投标文件由同一单位或者个人编制；</w:t>
      </w:r>
    </w:p>
    <w:p>
      <w:pPr>
        <w:numPr>
          <w:ilvl w:val="0"/>
          <w:numId w:val="30"/>
        </w:numPr>
        <w:spacing w:line="440" w:lineRule="exact"/>
        <w:ind w:firstLine="480" w:firstLineChars="200"/>
        <w:rPr>
          <w:rFonts w:ascii="宋体" w:hAnsi="宋体"/>
          <w:szCs w:val="21"/>
        </w:rPr>
      </w:pPr>
      <w:r>
        <w:rPr>
          <w:rFonts w:hint="eastAsia" w:ascii="宋体" w:hAnsi="宋体"/>
          <w:szCs w:val="21"/>
        </w:rPr>
        <w:t>不同投标人委托同一单位或者个人办理投标事宜；</w:t>
      </w:r>
    </w:p>
    <w:p>
      <w:pPr>
        <w:numPr>
          <w:ilvl w:val="0"/>
          <w:numId w:val="30"/>
        </w:numPr>
        <w:spacing w:line="440" w:lineRule="exact"/>
        <w:ind w:firstLine="480" w:firstLineChars="200"/>
        <w:rPr>
          <w:rFonts w:ascii="宋体" w:hAnsi="宋体"/>
          <w:szCs w:val="21"/>
        </w:rPr>
      </w:pPr>
      <w:r>
        <w:rPr>
          <w:rFonts w:hint="eastAsia" w:ascii="宋体" w:hAnsi="宋体"/>
          <w:szCs w:val="21"/>
        </w:rPr>
        <w:t>不同投标人的投标文件载明的项目管理成员或者联系人员为同一人；</w:t>
      </w:r>
    </w:p>
    <w:p>
      <w:pPr>
        <w:numPr>
          <w:ilvl w:val="0"/>
          <w:numId w:val="30"/>
        </w:numPr>
        <w:spacing w:line="440" w:lineRule="exact"/>
        <w:ind w:firstLine="480" w:firstLineChars="200"/>
        <w:rPr>
          <w:rFonts w:ascii="宋体" w:hAnsi="宋体"/>
          <w:szCs w:val="21"/>
        </w:rPr>
      </w:pPr>
      <w:r>
        <w:rPr>
          <w:rFonts w:hint="eastAsia" w:ascii="宋体" w:hAnsi="宋体"/>
          <w:szCs w:val="21"/>
        </w:rPr>
        <w:t>不同投标人的投标文件异常一致或者投标报价呈规律性差异；</w:t>
      </w:r>
    </w:p>
    <w:p>
      <w:pPr>
        <w:numPr>
          <w:ilvl w:val="0"/>
          <w:numId w:val="30"/>
        </w:numPr>
        <w:spacing w:line="440" w:lineRule="exact"/>
        <w:ind w:firstLine="480" w:firstLineChars="200"/>
        <w:rPr>
          <w:rFonts w:ascii="宋体" w:hAnsi="宋体"/>
          <w:szCs w:val="21"/>
        </w:rPr>
      </w:pPr>
      <w:r>
        <w:rPr>
          <w:rFonts w:hint="eastAsia" w:ascii="宋体" w:hAnsi="宋体"/>
          <w:szCs w:val="21"/>
        </w:rPr>
        <w:t>不同投标人的投标文件相互混装；</w:t>
      </w:r>
    </w:p>
    <w:p>
      <w:pPr>
        <w:numPr>
          <w:ilvl w:val="1"/>
          <w:numId w:val="11"/>
        </w:numPr>
        <w:spacing w:line="440" w:lineRule="exact"/>
        <w:ind w:firstLine="482" w:firstLineChars="200"/>
        <w:rPr>
          <w:rFonts w:ascii="宋体" w:hAnsi="宋体"/>
          <w:b/>
          <w:bCs/>
          <w:szCs w:val="21"/>
        </w:rPr>
      </w:pPr>
      <w:r>
        <w:rPr>
          <w:rFonts w:hint="eastAsia" w:ascii="宋体" w:hAnsi="宋体"/>
          <w:b/>
          <w:bCs/>
          <w:szCs w:val="21"/>
        </w:rPr>
        <w:t>投标文件报价出现前后不一致的，除招标文件另有规定外，按照下列规定修正：</w:t>
      </w:r>
    </w:p>
    <w:p>
      <w:pPr>
        <w:numPr>
          <w:ilvl w:val="0"/>
          <w:numId w:val="31"/>
        </w:numPr>
        <w:spacing w:line="440" w:lineRule="exact"/>
        <w:ind w:firstLine="480" w:firstLineChars="200"/>
        <w:rPr>
          <w:rFonts w:ascii="宋体" w:hAnsi="宋体"/>
          <w:szCs w:val="21"/>
        </w:rPr>
      </w:pPr>
      <w:r>
        <w:rPr>
          <w:rFonts w:hint="eastAsia" w:ascii="宋体" w:hAnsi="宋体"/>
          <w:szCs w:val="21"/>
        </w:rPr>
        <w:t>投标文件中开标一览表（报价表）内容与投标文件中相应内容不一致的，以开标一览表（报价表）为准；</w:t>
      </w:r>
    </w:p>
    <w:p>
      <w:pPr>
        <w:numPr>
          <w:ilvl w:val="0"/>
          <w:numId w:val="31"/>
        </w:numPr>
        <w:spacing w:line="440" w:lineRule="exact"/>
        <w:ind w:firstLine="480" w:firstLineChars="200"/>
        <w:rPr>
          <w:rFonts w:ascii="宋体" w:hAnsi="宋体"/>
          <w:szCs w:val="21"/>
        </w:rPr>
      </w:pPr>
      <w:r>
        <w:rPr>
          <w:rFonts w:hint="eastAsia" w:ascii="宋体" w:hAnsi="宋体"/>
          <w:szCs w:val="21"/>
        </w:rPr>
        <w:t>大写金额和小写金额不一致的，以大写金额为准；</w:t>
      </w:r>
    </w:p>
    <w:p>
      <w:pPr>
        <w:numPr>
          <w:ilvl w:val="0"/>
          <w:numId w:val="31"/>
        </w:numPr>
        <w:spacing w:line="440" w:lineRule="exact"/>
        <w:ind w:firstLine="480" w:firstLineChars="200"/>
        <w:rPr>
          <w:rFonts w:ascii="宋体" w:hAnsi="宋体"/>
          <w:szCs w:val="21"/>
        </w:rPr>
      </w:pPr>
      <w:r>
        <w:rPr>
          <w:rFonts w:hint="eastAsia" w:ascii="宋体" w:hAnsi="宋体"/>
          <w:szCs w:val="21"/>
        </w:rPr>
        <w:t>单价金额小数点或者百分比有明显错位的，以开标一览表的总价为准，并修改单价；</w:t>
      </w:r>
    </w:p>
    <w:p>
      <w:pPr>
        <w:numPr>
          <w:ilvl w:val="0"/>
          <w:numId w:val="31"/>
        </w:numPr>
        <w:spacing w:line="440" w:lineRule="exact"/>
        <w:ind w:firstLine="480" w:firstLineChars="200"/>
        <w:rPr>
          <w:rFonts w:ascii="宋体" w:hAnsi="宋体"/>
          <w:szCs w:val="21"/>
        </w:rPr>
      </w:pPr>
      <w:r>
        <w:rPr>
          <w:rFonts w:hint="eastAsia" w:ascii="宋体" w:hAnsi="宋体"/>
          <w:szCs w:val="21"/>
        </w:rPr>
        <w:t>总价金额与按单价汇总金额不一致的，以单价金额计算结果为准。</w:t>
      </w:r>
    </w:p>
    <w:p>
      <w:pPr>
        <w:spacing w:line="440" w:lineRule="exact"/>
        <w:ind w:firstLine="240" w:firstLineChars="100"/>
        <w:rPr>
          <w:rFonts w:ascii="宋体" w:hAnsi="宋体"/>
          <w:szCs w:val="21"/>
        </w:rPr>
      </w:pPr>
      <w:r>
        <w:rPr>
          <w:rFonts w:hint="eastAsia" w:ascii="宋体" w:hAnsi="宋体"/>
          <w:szCs w:val="21"/>
        </w:rPr>
        <w:t xml:space="preserve">  同时出现两种以上不一致的，按照前款规定的顺序修正。修正后的投标报价经投标人确认后产生约束力，投标人不确认的，其投标无效。</w:t>
      </w:r>
    </w:p>
    <w:p>
      <w:pPr>
        <w:numPr>
          <w:ilvl w:val="1"/>
          <w:numId w:val="11"/>
        </w:numPr>
        <w:spacing w:line="440" w:lineRule="exact"/>
        <w:ind w:firstLine="482" w:firstLineChars="200"/>
        <w:rPr>
          <w:rFonts w:ascii="宋体" w:hAnsi="宋体"/>
          <w:b/>
          <w:bCs/>
          <w:szCs w:val="21"/>
        </w:rPr>
      </w:pPr>
      <w:r>
        <w:rPr>
          <w:rFonts w:hint="eastAsia" w:ascii="宋体" w:hAnsi="宋体"/>
          <w:b/>
          <w:bCs/>
          <w:szCs w:val="21"/>
        </w:rPr>
        <w:t>投标文件的澄清</w:t>
      </w:r>
    </w:p>
    <w:p>
      <w:pPr>
        <w:pStyle w:val="92"/>
        <w:numPr>
          <w:ilvl w:val="1"/>
          <w:numId w:val="32"/>
        </w:numPr>
        <w:tabs>
          <w:tab w:val="left" w:pos="-180"/>
          <w:tab w:val="clear" w:pos="709"/>
        </w:tabs>
        <w:spacing w:line="440" w:lineRule="exact"/>
        <w:ind w:firstLine="420" w:firstLineChars="200"/>
        <w:rPr>
          <w:szCs w:val="21"/>
        </w:rPr>
      </w:pPr>
      <w:r>
        <w:rPr>
          <w:rFonts w:hint="eastAsia"/>
          <w:szCs w:val="21"/>
        </w:rPr>
        <w:t>对于投标文件中含义不明确、同类问题表述不一致或者有明显文字和计算错误的内容，评标委员会应当以书面形式要求投标人作出必要的澄清、说明或者补正。</w:t>
      </w:r>
    </w:p>
    <w:p>
      <w:pPr>
        <w:pStyle w:val="92"/>
        <w:numPr>
          <w:ilvl w:val="1"/>
          <w:numId w:val="32"/>
        </w:numPr>
        <w:tabs>
          <w:tab w:val="left" w:pos="-180"/>
          <w:tab w:val="clear" w:pos="709"/>
        </w:tabs>
        <w:spacing w:line="440" w:lineRule="exact"/>
        <w:ind w:firstLine="420" w:firstLineChars="200"/>
        <w:rPr>
          <w:szCs w:val="21"/>
        </w:rPr>
      </w:pPr>
      <w:r>
        <w:rPr>
          <w:rFonts w:hint="eastAsia"/>
          <w:szCs w:val="21"/>
        </w:rPr>
        <w:t>投标人的澄清、说明或者补正应当采用书面形式，并加盖公章，或者由法定代表人或其授权的代表签字。投标人的澄清、说明或者补正不得超出投标文件的范围或者改变投标文件的实质性内容。投标人拒不按照要求对投标文件进行澄清、说明或者补正的，评标委员会可拒绝该投标；</w:t>
      </w:r>
    </w:p>
    <w:p>
      <w:pPr>
        <w:pStyle w:val="92"/>
        <w:numPr>
          <w:ilvl w:val="1"/>
          <w:numId w:val="32"/>
        </w:numPr>
        <w:tabs>
          <w:tab w:val="left" w:pos="-180"/>
          <w:tab w:val="clear" w:pos="709"/>
        </w:tabs>
        <w:spacing w:line="440" w:lineRule="exact"/>
        <w:ind w:firstLine="420" w:firstLineChars="200"/>
        <w:rPr>
          <w:szCs w:val="21"/>
        </w:rPr>
      </w:pPr>
      <w:r>
        <w:rPr>
          <w:rFonts w:hint="eastAsia"/>
          <w:szCs w:val="21"/>
        </w:rPr>
        <w:t>评标委员会不得接受投标人主动提出的澄清和解释；</w:t>
      </w:r>
    </w:p>
    <w:p>
      <w:pPr>
        <w:pStyle w:val="92"/>
        <w:numPr>
          <w:ilvl w:val="1"/>
          <w:numId w:val="32"/>
        </w:numPr>
        <w:tabs>
          <w:tab w:val="left" w:pos="-180"/>
          <w:tab w:val="clear" w:pos="709"/>
        </w:tabs>
        <w:spacing w:line="440" w:lineRule="exact"/>
        <w:ind w:firstLine="420" w:firstLineChars="200"/>
        <w:rPr>
          <w:szCs w:val="21"/>
        </w:rPr>
      </w:pPr>
      <w:r>
        <w:rPr>
          <w:rFonts w:hint="eastAsia"/>
          <w:szCs w:val="21"/>
        </w:rPr>
        <w:t>并非每个投标人都将被要求做出澄清和答复。</w:t>
      </w:r>
    </w:p>
    <w:p>
      <w:pPr>
        <w:numPr>
          <w:ilvl w:val="1"/>
          <w:numId w:val="11"/>
        </w:numPr>
        <w:spacing w:line="440" w:lineRule="exact"/>
        <w:ind w:firstLine="482" w:firstLineChars="200"/>
        <w:rPr>
          <w:rFonts w:ascii="宋体" w:hAnsi="宋体"/>
          <w:b/>
          <w:bCs/>
          <w:szCs w:val="21"/>
        </w:rPr>
      </w:pPr>
      <w:r>
        <w:rPr>
          <w:rFonts w:hint="eastAsia" w:ascii="宋体" w:hAnsi="宋体"/>
          <w:b/>
          <w:bCs/>
          <w:szCs w:val="21"/>
        </w:rPr>
        <w:t>比较与评价</w:t>
      </w:r>
    </w:p>
    <w:p>
      <w:pPr>
        <w:numPr>
          <w:ilvl w:val="1"/>
          <w:numId w:val="33"/>
        </w:numPr>
        <w:tabs>
          <w:tab w:val="left" w:pos="1276"/>
        </w:tabs>
        <w:spacing w:line="440" w:lineRule="exact"/>
        <w:ind w:firstLine="482" w:firstLineChars="200"/>
        <w:rPr>
          <w:rFonts w:ascii="宋体" w:hAnsi="宋体"/>
          <w:szCs w:val="21"/>
        </w:rPr>
      </w:pPr>
      <w:r>
        <w:rPr>
          <w:rFonts w:hint="eastAsia" w:ascii="宋体" w:hAnsi="宋体"/>
          <w:b/>
          <w:szCs w:val="21"/>
        </w:rPr>
        <w:t>评标方法和标准</w:t>
      </w:r>
      <w:r>
        <w:rPr>
          <w:rFonts w:hint="eastAsia" w:ascii="宋体" w:hAnsi="宋体"/>
          <w:b/>
          <w:bCs/>
          <w:szCs w:val="21"/>
        </w:rPr>
        <w:t>：见本文件第七章；</w:t>
      </w:r>
    </w:p>
    <w:p>
      <w:pPr>
        <w:numPr>
          <w:ilvl w:val="1"/>
          <w:numId w:val="33"/>
        </w:numPr>
        <w:tabs>
          <w:tab w:val="left" w:pos="1276"/>
        </w:tabs>
        <w:spacing w:line="440" w:lineRule="exact"/>
        <w:ind w:firstLine="480" w:firstLineChars="200"/>
        <w:rPr>
          <w:rFonts w:ascii="宋体" w:hAnsi="宋体"/>
          <w:szCs w:val="21"/>
        </w:rPr>
      </w:pPr>
      <w:r>
        <w:rPr>
          <w:rFonts w:hint="eastAsia" w:ascii="宋体" w:hAnsi="宋体"/>
          <w:szCs w:val="21"/>
        </w:rPr>
        <w:t>评标委员会应当按照本招标文件中规定的评标方法和标准，对符合性审查合格的投标文件进行商务和技术评估，综合比较与评价。向采购人提出书面评标报告，并按得分高低排序向采购人推荐3名为中标候选人，采购人应当自收到评标报告之日起5个工作日内，在评标报告确定的中标候选人名单中按顺序确定排名第一的中标候选人为中标人，或评标委员会根据采购人委托直接确定中标人。</w:t>
      </w:r>
    </w:p>
    <w:p>
      <w:pPr>
        <w:numPr>
          <w:ilvl w:val="1"/>
          <w:numId w:val="33"/>
        </w:numPr>
        <w:tabs>
          <w:tab w:val="left" w:pos="1276"/>
        </w:tabs>
        <w:spacing w:line="440" w:lineRule="exact"/>
        <w:ind w:firstLine="480" w:firstLineChars="200"/>
        <w:rPr>
          <w:rFonts w:ascii="宋体" w:hAnsi="宋体"/>
          <w:szCs w:val="21"/>
        </w:rPr>
      </w:pPr>
      <w:r>
        <w:rPr>
          <w:rFonts w:hint="eastAsia" w:ascii="宋体" w:hAnsi="宋体"/>
          <w:szCs w:val="21"/>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numPr>
          <w:ilvl w:val="1"/>
          <w:numId w:val="33"/>
        </w:numPr>
        <w:tabs>
          <w:tab w:val="left" w:pos="1276"/>
        </w:tabs>
        <w:spacing w:line="440" w:lineRule="exact"/>
        <w:ind w:firstLine="480" w:firstLineChars="200"/>
        <w:rPr>
          <w:rFonts w:ascii="宋体" w:hAnsi="宋体"/>
          <w:szCs w:val="21"/>
        </w:rPr>
      </w:pPr>
      <w:r>
        <w:rPr>
          <w:rFonts w:hint="eastAsia" w:ascii="宋体" w:hAnsi="宋体"/>
          <w:szCs w:val="21"/>
        </w:rPr>
        <w:t>同一品牌的认定：</w:t>
      </w:r>
    </w:p>
    <w:p>
      <w:pPr>
        <w:pStyle w:val="2"/>
        <w:ind w:firstLine="420" w:firstLineChars="200"/>
        <w:rPr>
          <w:rFonts w:ascii="宋体" w:hAnsi="宋体"/>
          <w:sz w:val="21"/>
          <w:szCs w:val="21"/>
        </w:rPr>
      </w:pPr>
      <w:r>
        <w:rPr>
          <w:rFonts w:hint="eastAsia" w:ascii="宋体" w:hAnsi="宋体"/>
          <w:sz w:val="21"/>
          <w:szCs w:val="21"/>
        </w:rPr>
        <w:t>采用最低评标价法的采购项目，提供相同品牌产品的不同投标人参加同一合同项下投标的，以其中通过资格审查、符合性审查且报价最低的参加评标；报价相同的，由采购人或者采购人委托评标委员会按照招标文件规定的方式确定一个参加评标的投标人，招标文件未规定的采取随机抽取方式确定，其他投标无效。</w:t>
      </w:r>
    </w:p>
    <w:p>
      <w:pPr>
        <w:pStyle w:val="2"/>
        <w:ind w:firstLine="420" w:firstLineChars="200"/>
        <w:rPr>
          <w:rFonts w:ascii="宋体" w:hAnsi="宋体"/>
          <w:sz w:val="21"/>
          <w:szCs w:val="21"/>
        </w:rPr>
      </w:pPr>
      <w:r>
        <w:rPr>
          <w:rFonts w:hint="eastAsia" w:ascii="宋体" w:hAnsi="宋体"/>
          <w:sz w:val="21"/>
          <w:szCs w:val="21"/>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w:t>
      </w:r>
    </w:p>
    <w:p>
      <w:pPr>
        <w:pStyle w:val="2"/>
        <w:ind w:firstLine="420" w:firstLineChars="200"/>
        <w:rPr>
          <w:rFonts w:ascii="宋体" w:hAnsi="宋体"/>
          <w:sz w:val="21"/>
          <w:szCs w:val="21"/>
        </w:rPr>
      </w:pPr>
      <w:r>
        <w:rPr>
          <w:rFonts w:hint="eastAsia" w:ascii="宋体" w:hAnsi="宋体"/>
          <w:sz w:val="21"/>
          <w:szCs w:val="21"/>
        </w:rPr>
        <w:t>非单一产品采购项目，采购人应当根据采购项目技术构成、产品价格比重等合理确定核心产品，并在招标文件中载明。多家投标人提供的核心产品品牌相同的，按前两款规定处理。</w:t>
      </w:r>
    </w:p>
    <w:p>
      <w:pPr>
        <w:numPr>
          <w:ilvl w:val="1"/>
          <w:numId w:val="11"/>
        </w:numPr>
        <w:spacing w:line="440" w:lineRule="exact"/>
        <w:ind w:firstLine="482" w:firstLineChars="200"/>
        <w:rPr>
          <w:rFonts w:ascii="宋体" w:hAnsi="宋体"/>
          <w:b/>
          <w:bCs/>
          <w:szCs w:val="21"/>
        </w:rPr>
      </w:pPr>
      <w:r>
        <w:rPr>
          <w:rFonts w:hint="eastAsia" w:ascii="宋体" w:hAnsi="宋体"/>
          <w:b/>
          <w:bCs/>
          <w:szCs w:val="21"/>
        </w:rPr>
        <w:t>保密及其他注意事项</w:t>
      </w:r>
    </w:p>
    <w:p>
      <w:pPr>
        <w:numPr>
          <w:ilvl w:val="1"/>
          <w:numId w:val="34"/>
        </w:numPr>
        <w:spacing w:line="440" w:lineRule="exact"/>
        <w:ind w:firstLine="480" w:firstLineChars="200"/>
        <w:rPr>
          <w:rFonts w:ascii="宋体" w:hAnsi="宋体"/>
          <w:b/>
          <w:bCs/>
          <w:szCs w:val="21"/>
        </w:rPr>
      </w:pPr>
      <w:r>
        <w:rPr>
          <w:rFonts w:hint="eastAsia" w:ascii="宋体" w:hAnsi="宋体"/>
          <w:szCs w:val="21"/>
        </w:rPr>
        <w:t>评标委员会将遵照评标原则，公平、公正地对待所有投标人；</w:t>
      </w:r>
    </w:p>
    <w:p>
      <w:pPr>
        <w:numPr>
          <w:ilvl w:val="1"/>
          <w:numId w:val="34"/>
        </w:numPr>
        <w:spacing w:line="440" w:lineRule="exact"/>
        <w:ind w:firstLine="480" w:firstLineChars="200"/>
        <w:rPr>
          <w:rFonts w:ascii="宋体" w:hAnsi="宋体"/>
          <w:b/>
          <w:bCs/>
          <w:szCs w:val="21"/>
        </w:rPr>
      </w:pPr>
      <w:r>
        <w:rPr>
          <w:rFonts w:hint="eastAsia" w:ascii="宋体" w:hAnsi="宋体"/>
          <w:szCs w:val="21"/>
        </w:rPr>
        <w:t>在评标期间，投标人不得向评标委员会成员询问评标情况，不得进行旨在影响中标结果的活动；</w:t>
      </w:r>
    </w:p>
    <w:p>
      <w:pPr>
        <w:numPr>
          <w:ilvl w:val="1"/>
          <w:numId w:val="34"/>
        </w:numPr>
        <w:spacing w:line="440" w:lineRule="exact"/>
        <w:ind w:firstLine="480" w:firstLineChars="200"/>
        <w:rPr>
          <w:rFonts w:ascii="宋体" w:hAnsi="宋体"/>
          <w:b/>
          <w:bCs/>
          <w:szCs w:val="21"/>
        </w:rPr>
      </w:pPr>
      <w:r>
        <w:rPr>
          <w:rFonts w:hint="eastAsia" w:ascii="宋体" w:hAnsi="宋体"/>
          <w:szCs w:val="21"/>
        </w:rPr>
        <w:t>为保证中标结果的公正性，开标之后直至授予中标人合同时，凡是属于审查、澄清、评价和比较投标的有关资料以及授标意向等，均不向投标人或其他与评标无关的人员透露。在评标结束后，凡与评标情况有接触的任何人不得也不应将评标情况扩散出评标委员会成员之外；</w:t>
      </w:r>
    </w:p>
    <w:p>
      <w:pPr>
        <w:numPr>
          <w:ilvl w:val="1"/>
          <w:numId w:val="34"/>
        </w:numPr>
        <w:spacing w:line="440" w:lineRule="exact"/>
        <w:ind w:firstLine="480" w:firstLineChars="200"/>
        <w:rPr>
          <w:rFonts w:ascii="宋体" w:hAnsi="宋体"/>
          <w:b/>
          <w:bCs/>
          <w:szCs w:val="21"/>
        </w:rPr>
      </w:pPr>
      <w:r>
        <w:rPr>
          <w:rFonts w:hint="eastAsia" w:ascii="宋体" w:hAnsi="宋体"/>
          <w:szCs w:val="21"/>
        </w:rPr>
        <w:t>采购人、采购代理机构应当采取必要措施，保证评标在严格保密的情况下进行。除采购人代表、评标现场组织人员外，采购人的其他工作人员以及与评标工作无关的人员不得进入评标现场；</w:t>
      </w:r>
    </w:p>
    <w:p>
      <w:pPr>
        <w:numPr>
          <w:ilvl w:val="1"/>
          <w:numId w:val="34"/>
        </w:numPr>
        <w:spacing w:line="440" w:lineRule="exact"/>
        <w:ind w:firstLine="480" w:firstLineChars="200"/>
        <w:rPr>
          <w:rFonts w:ascii="宋体" w:hAnsi="宋体"/>
          <w:b/>
          <w:bCs/>
          <w:szCs w:val="21"/>
        </w:rPr>
      </w:pPr>
      <w:r>
        <w:rPr>
          <w:rFonts w:hint="eastAsia" w:ascii="宋体" w:hAnsi="宋体"/>
          <w:szCs w:val="21"/>
        </w:rPr>
        <w:t>有关人员对评标情况以及在评标过程中获悉的国家秘密、商业秘密负有保密责任；</w:t>
      </w:r>
    </w:p>
    <w:p>
      <w:pPr>
        <w:numPr>
          <w:ilvl w:val="1"/>
          <w:numId w:val="11"/>
        </w:numPr>
        <w:spacing w:line="440" w:lineRule="exact"/>
        <w:ind w:firstLine="482" w:firstLineChars="200"/>
        <w:rPr>
          <w:rFonts w:ascii="宋体" w:hAnsi="宋体"/>
          <w:b/>
          <w:bCs/>
          <w:szCs w:val="21"/>
        </w:rPr>
      </w:pPr>
      <w:r>
        <w:rPr>
          <w:rFonts w:hint="eastAsia" w:ascii="宋体" w:hAnsi="宋体"/>
          <w:b/>
          <w:bCs/>
          <w:szCs w:val="21"/>
        </w:rPr>
        <w:t>废标条款</w:t>
      </w:r>
    </w:p>
    <w:p>
      <w:pPr>
        <w:spacing w:line="440" w:lineRule="exact"/>
        <w:ind w:firstLine="480" w:firstLineChars="200"/>
        <w:rPr>
          <w:rFonts w:ascii="宋体" w:hAnsi="宋体"/>
          <w:szCs w:val="21"/>
        </w:rPr>
      </w:pPr>
      <w:r>
        <w:rPr>
          <w:rFonts w:hint="eastAsia" w:ascii="宋体" w:hAnsi="宋体"/>
          <w:szCs w:val="21"/>
        </w:rPr>
        <w:t>在招标采购中，出现下列情形之一的，应予废标：</w:t>
      </w:r>
    </w:p>
    <w:p>
      <w:pPr>
        <w:numPr>
          <w:ilvl w:val="0"/>
          <w:numId w:val="35"/>
        </w:numPr>
        <w:spacing w:line="440" w:lineRule="exact"/>
        <w:ind w:firstLine="480" w:firstLineChars="200"/>
        <w:rPr>
          <w:rFonts w:ascii="宋体" w:hAnsi="宋体"/>
          <w:szCs w:val="21"/>
        </w:rPr>
      </w:pPr>
      <w:r>
        <w:rPr>
          <w:rFonts w:hint="eastAsia" w:ascii="宋体" w:hAnsi="宋体"/>
          <w:szCs w:val="21"/>
        </w:rPr>
        <w:t>符合专业条件的投标人或者对招标文件作实质响应的投标人不足三家的；</w:t>
      </w:r>
    </w:p>
    <w:p>
      <w:pPr>
        <w:numPr>
          <w:ilvl w:val="0"/>
          <w:numId w:val="35"/>
        </w:numPr>
        <w:spacing w:line="440" w:lineRule="exact"/>
        <w:ind w:firstLine="480" w:firstLineChars="200"/>
        <w:rPr>
          <w:rFonts w:ascii="宋体" w:hAnsi="宋体"/>
          <w:szCs w:val="21"/>
        </w:rPr>
      </w:pPr>
      <w:r>
        <w:rPr>
          <w:rFonts w:hint="eastAsia" w:ascii="宋体" w:hAnsi="宋体"/>
          <w:szCs w:val="21"/>
        </w:rPr>
        <w:t>投标人的报价均超过了采购预算，采购人不能支付的；</w:t>
      </w:r>
    </w:p>
    <w:p>
      <w:pPr>
        <w:numPr>
          <w:ilvl w:val="0"/>
          <w:numId w:val="35"/>
        </w:numPr>
        <w:spacing w:line="440" w:lineRule="exact"/>
        <w:ind w:firstLine="480" w:firstLineChars="200"/>
        <w:rPr>
          <w:rFonts w:ascii="宋体" w:hAnsi="宋体"/>
          <w:szCs w:val="21"/>
        </w:rPr>
      </w:pPr>
      <w:r>
        <w:rPr>
          <w:rFonts w:hint="eastAsia" w:ascii="宋体" w:hAnsi="宋体"/>
          <w:szCs w:val="21"/>
        </w:rPr>
        <w:t>出现影响采购公正的违法、违规行为的；</w:t>
      </w:r>
    </w:p>
    <w:p>
      <w:pPr>
        <w:numPr>
          <w:ilvl w:val="0"/>
          <w:numId w:val="35"/>
        </w:numPr>
        <w:spacing w:line="440" w:lineRule="exact"/>
        <w:ind w:firstLine="480" w:firstLineChars="200"/>
        <w:rPr>
          <w:rFonts w:ascii="宋体" w:hAnsi="宋体"/>
          <w:szCs w:val="21"/>
        </w:rPr>
      </w:pPr>
      <w:r>
        <w:rPr>
          <w:rFonts w:hint="eastAsia" w:ascii="宋体" w:hAnsi="宋体"/>
          <w:szCs w:val="21"/>
        </w:rPr>
        <w:t>因重大变故，采购任务取消的；</w:t>
      </w:r>
    </w:p>
    <w:p>
      <w:pPr>
        <w:pStyle w:val="4"/>
        <w:numPr>
          <w:ilvl w:val="3"/>
          <w:numId w:val="10"/>
        </w:numPr>
        <w:spacing w:line="440" w:lineRule="exact"/>
        <w:jc w:val="center"/>
        <w:rPr>
          <w:rFonts w:ascii="宋体" w:hAnsi="宋体" w:eastAsia="宋体" w:cs="宋体"/>
        </w:rPr>
      </w:pPr>
      <w:bookmarkStart w:id="23" w:name="_Toc476237537"/>
      <w:bookmarkStart w:id="24" w:name="_Toc477166576"/>
      <w:bookmarkStart w:id="25" w:name="_Toc21559"/>
      <w:bookmarkStart w:id="26" w:name="_Toc17444523"/>
      <w:r>
        <w:rPr>
          <w:rFonts w:hint="eastAsia" w:ascii="宋体" w:hAnsi="宋体" w:eastAsia="宋体" w:cs="宋体"/>
        </w:rPr>
        <w:t>中标和合同</w:t>
      </w:r>
      <w:bookmarkEnd w:id="23"/>
      <w:bookmarkEnd w:id="24"/>
      <w:bookmarkEnd w:id="25"/>
      <w:bookmarkEnd w:id="26"/>
    </w:p>
    <w:p>
      <w:pPr>
        <w:numPr>
          <w:ilvl w:val="1"/>
          <w:numId w:val="11"/>
        </w:numPr>
        <w:spacing w:line="440" w:lineRule="exact"/>
        <w:ind w:firstLine="482" w:firstLineChars="200"/>
        <w:rPr>
          <w:rFonts w:ascii="宋体" w:hAnsi="宋体"/>
          <w:b/>
          <w:bCs/>
          <w:szCs w:val="21"/>
        </w:rPr>
      </w:pPr>
      <w:r>
        <w:rPr>
          <w:rFonts w:hint="eastAsia" w:ascii="宋体" w:hAnsi="宋体"/>
          <w:b/>
          <w:bCs/>
          <w:szCs w:val="21"/>
        </w:rPr>
        <w:t>中标通知</w:t>
      </w:r>
    </w:p>
    <w:p>
      <w:pPr>
        <w:numPr>
          <w:ilvl w:val="1"/>
          <w:numId w:val="36"/>
        </w:numPr>
        <w:spacing w:line="440" w:lineRule="exact"/>
        <w:ind w:firstLine="480" w:firstLineChars="200"/>
        <w:rPr>
          <w:rFonts w:ascii="宋体" w:hAnsi="宋体"/>
          <w:szCs w:val="21"/>
        </w:rPr>
      </w:pPr>
      <w:r>
        <w:rPr>
          <w:rFonts w:hint="eastAsia" w:ascii="宋体" w:hAnsi="宋体"/>
          <w:szCs w:val="21"/>
        </w:rPr>
        <w:t>中标结果将在</w:t>
      </w:r>
      <w:r>
        <w:rPr>
          <w:rFonts w:hint="eastAsia" w:ascii="宋体" w:hAnsi="宋体"/>
          <w:bCs/>
          <w:szCs w:val="21"/>
        </w:rPr>
        <w:t>“原招标公告发布媒体”</w:t>
      </w:r>
      <w:r>
        <w:rPr>
          <w:rFonts w:hint="eastAsia" w:ascii="宋体" w:hAnsi="宋体"/>
          <w:szCs w:val="21"/>
        </w:rPr>
        <w:t>上公告；</w:t>
      </w:r>
    </w:p>
    <w:p>
      <w:pPr>
        <w:numPr>
          <w:ilvl w:val="1"/>
          <w:numId w:val="36"/>
        </w:numPr>
        <w:spacing w:line="440" w:lineRule="exact"/>
        <w:ind w:firstLine="480" w:firstLineChars="200"/>
        <w:rPr>
          <w:rFonts w:ascii="宋体" w:hAnsi="宋体"/>
          <w:szCs w:val="21"/>
        </w:rPr>
      </w:pPr>
      <w:r>
        <w:rPr>
          <w:rFonts w:hint="eastAsia" w:ascii="宋体" w:hAnsi="宋体"/>
          <w:color w:val="000000"/>
          <w:szCs w:val="21"/>
          <w:shd w:val="clear" w:color="auto" w:fill="FFFFFF"/>
        </w:rPr>
        <w:t>在公告中标结果的同时，采购人应当向中标人发出中标通知书；</w:t>
      </w:r>
    </w:p>
    <w:p>
      <w:pPr>
        <w:numPr>
          <w:ilvl w:val="1"/>
          <w:numId w:val="36"/>
        </w:numPr>
        <w:spacing w:line="440" w:lineRule="exact"/>
        <w:ind w:firstLine="480" w:firstLineChars="200"/>
        <w:rPr>
          <w:rFonts w:ascii="宋体" w:hAnsi="宋体"/>
          <w:szCs w:val="21"/>
        </w:rPr>
      </w:pPr>
      <w:r>
        <w:rPr>
          <w:rFonts w:hint="eastAsia" w:ascii="宋体" w:hAnsi="宋体"/>
          <w:szCs w:val="21"/>
        </w:rPr>
        <w:t>中标人凭《中标通知书》与采购人签订合同；</w:t>
      </w:r>
    </w:p>
    <w:p>
      <w:pPr>
        <w:numPr>
          <w:ilvl w:val="1"/>
          <w:numId w:val="36"/>
        </w:numPr>
        <w:spacing w:line="440" w:lineRule="exact"/>
        <w:ind w:firstLine="480" w:firstLineChars="200"/>
        <w:rPr>
          <w:rFonts w:ascii="宋体" w:hAnsi="宋体"/>
          <w:szCs w:val="21"/>
        </w:rPr>
      </w:pPr>
      <w:r>
        <w:rPr>
          <w:rFonts w:hint="eastAsia" w:ascii="宋体" w:hAnsi="宋体"/>
          <w:szCs w:val="21"/>
        </w:rPr>
        <w:t>履约担保（如有）：中标人应按招标文件的规定在签订合同前向采购人交纳履约担保。过期不交的将取消其中标资格，另行确定中标人。</w:t>
      </w:r>
    </w:p>
    <w:p>
      <w:pPr>
        <w:numPr>
          <w:ilvl w:val="1"/>
          <w:numId w:val="11"/>
        </w:numPr>
        <w:spacing w:line="440" w:lineRule="exact"/>
        <w:ind w:firstLine="482" w:firstLineChars="200"/>
        <w:rPr>
          <w:rFonts w:ascii="宋体" w:hAnsi="宋体"/>
          <w:b/>
          <w:bCs/>
          <w:szCs w:val="21"/>
        </w:rPr>
      </w:pPr>
      <w:r>
        <w:rPr>
          <w:rFonts w:hint="eastAsia" w:ascii="宋体" w:hAnsi="宋体"/>
          <w:b/>
          <w:bCs/>
          <w:szCs w:val="21"/>
        </w:rPr>
        <w:t>签订合同及合同的执行</w:t>
      </w:r>
    </w:p>
    <w:p>
      <w:pPr>
        <w:pStyle w:val="12"/>
        <w:numPr>
          <w:ilvl w:val="1"/>
          <w:numId w:val="37"/>
        </w:numPr>
        <w:spacing w:line="440" w:lineRule="exact"/>
        <w:ind w:firstLine="420" w:firstLineChars="200"/>
        <w:rPr>
          <w:rFonts w:ascii="宋体" w:hAnsi="宋体" w:eastAsia="宋体" w:cs="宋体"/>
          <w:sz w:val="21"/>
          <w:szCs w:val="21"/>
        </w:rPr>
      </w:pPr>
      <w:r>
        <w:rPr>
          <w:rFonts w:hint="eastAsia" w:ascii="宋体" w:hAnsi="宋体" w:eastAsia="宋体" w:cs="宋体"/>
          <w:sz w:val="21"/>
          <w:szCs w:val="21"/>
        </w:rPr>
        <w:t>采购人、中标人在中标通知书发布之日起</w:t>
      </w:r>
      <w:r>
        <w:rPr>
          <w:rFonts w:hint="eastAsia" w:ascii="宋体" w:hAnsi="宋体" w:eastAsia="宋体" w:cs="宋体"/>
          <w:sz w:val="21"/>
          <w:szCs w:val="21"/>
          <w:u w:val="single"/>
        </w:rPr>
        <w:t>30</w:t>
      </w:r>
      <w:r>
        <w:rPr>
          <w:rFonts w:hint="eastAsia" w:ascii="宋体" w:hAnsi="宋体" w:eastAsia="宋体" w:cs="宋体"/>
          <w:sz w:val="21"/>
          <w:szCs w:val="21"/>
        </w:rPr>
        <w:t>日内（投标人须知前附表另有规定者从其规定），根据招标文件确定的事项和中标人投标文件签订书面合同。双方所签订的合同不得对招标文件和中标人投标文件作实质性修改；</w:t>
      </w:r>
    </w:p>
    <w:p>
      <w:pPr>
        <w:pStyle w:val="12"/>
        <w:numPr>
          <w:ilvl w:val="1"/>
          <w:numId w:val="37"/>
        </w:numPr>
        <w:spacing w:line="440" w:lineRule="exact"/>
        <w:ind w:firstLine="420" w:firstLineChars="200"/>
        <w:rPr>
          <w:rFonts w:ascii="宋体" w:hAnsi="宋体" w:eastAsia="宋体" w:cs="宋体"/>
          <w:sz w:val="21"/>
          <w:szCs w:val="21"/>
        </w:rPr>
      </w:pPr>
      <w:r>
        <w:rPr>
          <w:rFonts w:hint="eastAsia" w:ascii="宋体" w:hAnsi="宋体" w:eastAsia="宋体" w:cs="宋体"/>
          <w:sz w:val="21"/>
          <w:szCs w:val="21"/>
        </w:rPr>
        <w:t>招标文件的修改文件、中标人的投标文件、补充或修改的文件及澄清或承诺文件等，均为双方签订合同的组成部分，并与合同一并作为本招标文件所列采购项目的互补性法律文件，与合同具有同等法律效力；</w:t>
      </w:r>
    </w:p>
    <w:p>
      <w:pPr>
        <w:pStyle w:val="12"/>
        <w:numPr>
          <w:ilvl w:val="1"/>
          <w:numId w:val="37"/>
        </w:numPr>
        <w:spacing w:line="440" w:lineRule="exact"/>
        <w:ind w:firstLine="420" w:firstLineChars="200"/>
        <w:rPr>
          <w:rFonts w:ascii="宋体" w:hAnsi="宋体" w:eastAsia="宋体" w:cs="宋体"/>
          <w:sz w:val="21"/>
          <w:szCs w:val="21"/>
        </w:rPr>
      </w:pPr>
      <w:r>
        <w:rPr>
          <w:rFonts w:hint="eastAsia" w:ascii="宋体" w:hAnsi="宋体" w:eastAsia="宋体" w:cs="宋体"/>
          <w:sz w:val="21"/>
          <w:szCs w:val="21"/>
        </w:rPr>
        <w:t>中标人应在采购合同签订之日起七个工作日内将合同报武陟县公共资源交易中心、武陟县政府采购管理办公室备案；</w:t>
      </w:r>
    </w:p>
    <w:p>
      <w:pPr>
        <w:pStyle w:val="12"/>
        <w:numPr>
          <w:ilvl w:val="1"/>
          <w:numId w:val="37"/>
        </w:numPr>
        <w:spacing w:line="440" w:lineRule="exact"/>
        <w:ind w:firstLine="420" w:firstLineChars="200"/>
        <w:rPr>
          <w:rFonts w:ascii="宋体" w:hAnsi="宋体" w:eastAsia="宋体" w:cs="宋体"/>
          <w:sz w:val="21"/>
          <w:szCs w:val="21"/>
        </w:rPr>
      </w:pPr>
      <w:r>
        <w:rPr>
          <w:rFonts w:hint="eastAsia" w:ascii="宋体" w:hAnsi="宋体" w:eastAsia="宋体" w:cs="宋体"/>
          <w:sz w:val="21"/>
          <w:szCs w:val="21"/>
        </w:rPr>
        <w:t>合同双方如违约，将按《中华人民共和国合同法》、《中华人民共和国政府采购法》及有关法律法规中的规定执行。</w:t>
      </w:r>
    </w:p>
    <w:p>
      <w:pPr>
        <w:numPr>
          <w:ilvl w:val="1"/>
          <w:numId w:val="11"/>
        </w:numPr>
        <w:spacing w:line="440" w:lineRule="exact"/>
        <w:ind w:firstLine="482" w:firstLineChars="200"/>
        <w:rPr>
          <w:rFonts w:ascii="宋体" w:hAnsi="宋体"/>
          <w:b/>
          <w:bCs/>
          <w:szCs w:val="21"/>
        </w:rPr>
      </w:pPr>
      <w:r>
        <w:rPr>
          <w:rFonts w:hint="eastAsia" w:ascii="宋体" w:hAnsi="宋体"/>
          <w:b/>
          <w:bCs/>
          <w:szCs w:val="21"/>
        </w:rPr>
        <w:t>质疑</w:t>
      </w:r>
    </w:p>
    <w:p>
      <w:pPr>
        <w:adjustRightInd w:val="0"/>
        <w:spacing w:line="360" w:lineRule="auto"/>
        <w:ind w:firstLine="480" w:firstLineChars="200"/>
        <w:jc w:val="left"/>
        <w:textAlignment w:val="baseline"/>
        <w:rPr>
          <w:rFonts w:ascii="宋体" w:hAnsi="宋体"/>
          <w:bCs/>
          <w:color w:val="000000"/>
          <w:szCs w:val="21"/>
        </w:rPr>
      </w:pPr>
      <w:r>
        <w:rPr>
          <w:rFonts w:hint="eastAsia" w:ascii="宋体" w:hAnsi="宋体"/>
          <w:bCs/>
          <w:color w:val="000000"/>
          <w:szCs w:val="21"/>
        </w:rPr>
        <w:t>供应商认为招标文件、采购过程、中标或者成交结果使自己的权益受到损害的，可以在知道或者应知其权益受到损害之日起7个工作日内，以书面形式向采购人、采购代理机构提出质疑。</w:t>
      </w:r>
    </w:p>
    <w:p>
      <w:pPr>
        <w:numPr>
          <w:ilvl w:val="1"/>
          <w:numId w:val="38"/>
        </w:numPr>
        <w:adjustRightInd w:val="0"/>
        <w:spacing w:line="360" w:lineRule="auto"/>
        <w:ind w:firstLine="480" w:firstLineChars="200"/>
        <w:jc w:val="left"/>
        <w:textAlignment w:val="baseline"/>
        <w:rPr>
          <w:rFonts w:ascii="宋体" w:hAnsi="宋体"/>
          <w:color w:val="000000"/>
          <w:szCs w:val="21"/>
        </w:rPr>
      </w:pPr>
      <w:r>
        <w:rPr>
          <w:rFonts w:hint="eastAsia" w:ascii="宋体" w:hAnsi="宋体"/>
          <w:color w:val="000000"/>
          <w:szCs w:val="21"/>
        </w:rPr>
        <w:t>供应商应在法定质疑期内一次性提出针对同一采购程序环节的质疑。</w:t>
      </w:r>
    </w:p>
    <w:p>
      <w:pPr>
        <w:numPr>
          <w:ilvl w:val="1"/>
          <w:numId w:val="38"/>
        </w:numPr>
        <w:adjustRightInd w:val="0"/>
        <w:spacing w:line="360" w:lineRule="auto"/>
        <w:ind w:firstLine="480" w:firstLineChars="200"/>
        <w:jc w:val="left"/>
        <w:textAlignment w:val="baseline"/>
        <w:rPr>
          <w:rFonts w:ascii="宋体" w:hAnsi="宋体"/>
          <w:color w:val="000000"/>
          <w:szCs w:val="21"/>
        </w:rPr>
      </w:pPr>
      <w:r>
        <w:rPr>
          <w:rFonts w:hint="eastAsia" w:ascii="宋体" w:hAnsi="宋体"/>
          <w:color w:val="000000"/>
          <w:szCs w:val="21"/>
        </w:rPr>
        <w:t>提出质疑的供应商应当是参与所质疑项目采购活动的供应商。</w:t>
      </w:r>
    </w:p>
    <w:p>
      <w:pPr>
        <w:numPr>
          <w:ilvl w:val="1"/>
          <w:numId w:val="38"/>
        </w:numPr>
        <w:adjustRightInd w:val="0"/>
        <w:spacing w:line="360" w:lineRule="auto"/>
        <w:ind w:firstLine="480" w:firstLineChars="200"/>
        <w:jc w:val="left"/>
        <w:textAlignment w:val="baseline"/>
        <w:rPr>
          <w:rFonts w:ascii="宋体" w:hAnsi="宋体"/>
          <w:color w:val="000000"/>
          <w:szCs w:val="21"/>
        </w:rPr>
      </w:pPr>
      <w:r>
        <w:rPr>
          <w:rFonts w:hint="eastAsia" w:ascii="宋体" w:hAnsi="宋体"/>
          <w:color w:val="000000"/>
          <w:szCs w:val="21"/>
        </w:rPr>
        <w:t>潜在供应商已依法获取其可质疑的</w:t>
      </w:r>
      <w:r>
        <w:rPr>
          <w:rFonts w:hint="eastAsia" w:ascii="宋体" w:hAnsi="宋体"/>
          <w:bCs/>
          <w:color w:val="000000"/>
          <w:szCs w:val="21"/>
        </w:rPr>
        <w:t>招标</w:t>
      </w:r>
      <w:r>
        <w:rPr>
          <w:rFonts w:hint="eastAsia" w:ascii="宋体" w:hAnsi="宋体"/>
          <w:color w:val="000000"/>
          <w:szCs w:val="21"/>
        </w:rPr>
        <w:t>文件的，可以对该文件提出质疑。对</w:t>
      </w:r>
      <w:r>
        <w:rPr>
          <w:rFonts w:hint="eastAsia" w:ascii="宋体" w:hAnsi="宋体"/>
          <w:bCs/>
          <w:color w:val="000000"/>
          <w:szCs w:val="21"/>
        </w:rPr>
        <w:t>招标</w:t>
      </w:r>
      <w:r>
        <w:rPr>
          <w:rFonts w:hint="eastAsia" w:ascii="宋体" w:hAnsi="宋体"/>
          <w:color w:val="000000"/>
          <w:szCs w:val="21"/>
        </w:rPr>
        <w:t>文件提出质疑的，应当在获取</w:t>
      </w:r>
      <w:r>
        <w:rPr>
          <w:rFonts w:hint="eastAsia" w:ascii="宋体" w:hAnsi="宋体"/>
          <w:bCs/>
          <w:color w:val="000000"/>
          <w:szCs w:val="21"/>
        </w:rPr>
        <w:t>招标</w:t>
      </w:r>
      <w:r>
        <w:rPr>
          <w:rFonts w:hint="eastAsia" w:ascii="宋体" w:hAnsi="宋体"/>
          <w:color w:val="000000"/>
          <w:szCs w:val="21"/>
        </w:rPr>
        <w:t>文件之日起7个工作日内提出。</w:t>
      </w:r>
    </w:p>
    <w:p>
      <w:pPr>
        <w:numPr>
          <w:ilvl w:val="1"/>
          <w:numId w:val="38"/>
        </w:numPr>
        <w:adjustRightInd w:val="0"/>
        <w:spacing w:line="360" w:lineRule="auto"/>
        <w:ind w:firstLine="480" w:firstLineChars="200"/>
        <w:jc w:val="left"/>
        <w:textAlignment w:val="baseline"/>
        <w:rPr>
          <w:rFonts w:ascii="宋体" w:hAnsi="宋体"/>
          <w:color w:val="000000"/>
          <w:szCs w:val="21"/>
        </w:rPr>
      </w:pPr>
      <w:r>
        <w:rPr>
          <w:rFonts w:hint="eastAsia" w:ascii="宋体" w:hAnsi="宋体"/>
          <w:color w:val="000000"/>
          <w:szCs w:val="21"/>
        </w:rPr>
        <w:t>供应商提出质疑应当提交质疑函和必要的证明材料。</w:t>
      </w:r>
    </w:p>
    <w:p>
      <w:pPr>
        <w:numPr>
          <w:ilvl w:val="1"/>
          <w:numId w:val="38"/>
        </w:numPr>
        <w:adjustRightInd w:val="0"/>
        <w:spacing w:line="360" w:lineRule="auto"/>
        <w:ind w:firstLine="480" w:firstLineChars="200"/>
        <w:jc w:val="left"/>
        <w:textAlignment w:val="baseline"/>
        <w:rPr>
          <w:rFonts w:ascii="宋体" w:hAnsi="宋体"/>
          <w:color w:val="000000"/>
          <w:szCs w:val="21"/>
        </w:rPr>
      </w:pPr>
      <w:r>
        <w:rPr>
          <w:rFonts w:hint="eastAsia" w:ascii="宋体" w:hAnsi="宋体"/>
          <w:color w:val="000000"/>
          <w:szCs w:val="21"/>
        </w:rPr>
        <w:t>供应商不得虚假质疑和恶意质疑，并对质疑内容的真实性承担责任。供应商或者其他利害关系人通过捏造事实、伪造证明材料等方式提出异议或投诉，阻碍招投标活动正常进行的，属于严重不良行为，采购代理机构将提请政府采购监管部门将其列入不良行为记录名单，依法予以处罚。</w:t>
      </w:r>
    </w:p>
    <w:p>
      <w:pPr>
        <w:numPr>
          <w:ilvl w:val="1"/>
          <w:numId w:val="38"/>
        </w:numPr>
        <w:adjustRightInd w:val="0"/>
        <w:spacing w:line="360" w:lineRule="auto"/>
        <w:ind w:firstLine="480" w:firstLineChars="200"/>
        <w:jc w:val="left"/>
        <w:textAlignment w:val="baseline"/>
        <w:rPr>
          <w:rFonts w:ascii="宋体" w:hAnsi="宋体"/>
          <w:color w:val="000000"/>
          <w:szCs w:val="21"/>
        </w:rPr>
      </w:pPr>
      <w:r>
        <w:rPr>
          <w:rFonts w:hint="eastAsia" w:ascii="宋体" w:hAnsi="宋体"/>
        </w:rPr>
        <w:t>质疑文件格式详见《中国政府采购网》下载专区“</w:t>
      </w:r>
      <w:r>
        <w:fldChar w:fldCharType="begin"/>
      </w:r>
      <w:r>
        <w:instrText xml:space="preserve"> HYPERLINK "http://download.ccgp.gov.cn/2018/zhiyihanfanben.zip" </w:instrText>
      </w:r>
      <w:r>
        <w:fldChar w:fldCharType="separate"/>
      </w:r>
      <w:r>
        <w:rPr>
          <w:rFonts w:hint="eastAsia" w:ascii="宋体" w:hAnsi="宋体"/>
        </w:rPr>
        <w:t>政府采购供应商质疑函范本</w:t>
      </w:r>
      <w:r>
        <w:rPr>
          <w:rFonts w:hint="eastAsia" w:ascii="宋体" w:hAnsi="宋体"/>
        </w:rPr>
        <w:fldChar w:fldCharType="end"/>
      </w:r>
      <w:r>
        <w:rPr>
          <w:rFonts w:hint="eastAsia" w:ascii="宋体" w:hAnsi="宋体"/>
        </w:rPr>
        <w:t>”，并按照“谁主张、谁举证”的原则，附上相关证明材料。否则，采购人或采购代理机构不予受理, 质疑文件及相关证明材料一式二份，采购人、采购代理机构各执一份。</w:t>
      </w:r>
    </w:p>
    <w:p>
      <w:pPr>
        <w:spacing w:line="560" w:lineRule="exact"/>
        <w:ind w:firstLine="480" w:firstLineChars="200"/>
        <w:rPr>
          <w:rFonts w:ascii="宋体" w:hAnsi="宋体"/>
          <w:color w:val="000000"/>
          <w:szCs w:val="21"/>
        </w:rPr>
      </w:pPr>
      <w:r>
        <w:rPr>
          <w:rFonts w:hint="eastAsia" w:ascii="宋体" w:hAnsi="宋体"/>
          <w:color w:val="000000"/>
          <w:szCs w:val="21"/>
        </w:rPr>
        <w:t>供应商可以委托代理人进行质疑。其授权委托书应当载明代理人的姓名或者名称、代理事项、具体权限、期限和相关事项。供应商为自然人的，应当由本人签字；供应商为法人或者其他组织的，应当由法定代表人、主要负责人签字或者盖章，并加盖公章。代理人提出质疑，应当提交供应商签署的授权委托书。</w:t>
      </w:r>
    </w:p>
    <w:p>
      <w:pPr>
        <w:numPr>
          <w:ilvl w:val="1"/>
          <w:numId w:val="38"/>
        </w:numPr>
        <w:adjustRightInd w:val="0"/>
        <w:spacing w:line="360" w:lineRule="auto"/>
        <w:ind w:firstLine="480" w:firstLineChars="200"/>
        <w:jc w:val="left"/>
        <w:textAlignment w:val="baseline"/>
        <w:rPr>
          <w:rFonts w:ascii="宋体" w:hAnsi="宋体"/>
        </w:rPr>
      </w:pPr>
      <w:r>
        <w:rPr>
          <w:rFonts w:hint="eastAsia" w:ascii="宋体" w:hAnsi="宋体"/>
        </w:rPr>
        <w:t>采购人或采购代理机构将在收到符合上述条件的书面质疑后7个工作日内审查质疑事项，作出答复或相关处理决定，并以书面形式通知质疑供应商和其他有关供应商，但答复的内容不涉及商业秘密。采购代理机构遵循“谁过错谁负担”的原则，有过错的一方承担调查论证费用。</w:t>
      </w:r>
    </w:p>
    <w:p>
      <w:pPr>
        <w:numPr>
          <w:ilvl w:val="1"/>
          <w:numId w:val="38"/>
        </w:numPr>
        <w:adjustRightInd w:val="0"/>
        <w:spacing w:line="360" w:lineRule="auto"/>
        <w:ind w:firstLine="480" w:firstLineChars="200"/>
        <w:jc w:val="left"/>
        <w:textAlignment w:val="baseline"/>
        <w:rPr>
          <w:rFonts w:ascii="宋体" w:hAnsi="宋体"/>
        </w:rPr>
      </w:pPr>
      <w:r>
        <w:rPr>
          <w:rFonts w:hint="eastAsia" w:ascii="宋体" w:hAnsi="宋体"/>
        </w:rPr>
        <w:t>质疑供应商对采购人或采购代理机构的答复不满意以及采购人或采购代理机构未在规定的时间内做出答复的，可以在答复期满后15个工作日内向同级财政部门投诉。</w:t>
      </w:r>
    </w:p>
    <w:p>
      <w:pPr>
        <w:numPr>
          <w:ilvl w:val="1"/>
          <w:numId w:val="38"/>
        </w:numPr>
        <w:adjustRightInd w:val="0"/>
        <w:spacing w:line="360" w:lineRule="auto"/>
        <w:ind w:firstLine="480" w:firstLineChars="200"/>
        <w:jc w:val="left"/>
        <w:textAlignment w:val="baseline"/>
        <w:rPr>
          <w:rFonts w:ascii="宋体" w:hAnsi="宋体"/>
        </w:rPr>
      </w:pPr>
      <w:r>
        <w:rPr>
          <w:rFonts w:hint="eastAsia" w:ascii="宋体" w:hAnsi="宋体"/>
          <w:color w:val="000000"/>
          <w:szCs w:val="21"/>
        </w:rPr>
        <w:t xml:space="preserve">质疑联系事项： </w:t>
      </w:r>
    </w:p>
    <w:p>
      <w:pPr>
        <w:numPr>
          <w:ilvl w:val="0"/>
          <w:numId w:val="39"/>
        </w:numPr>
        <w:adjustRightInd w:val="0"/>
        <w:spacing w:line="360" w:lineRule="auto"/>
        <w:ind w:firstLine="480" w:firstLineChars="200"/>
        <w:jc w:val="left"/>
        <w:textAlignment w:val="baseline"/>
        <w:rPr>
          <w:rFonts w:ascii="宋体" w:hAnsi="宋体"/>
          <w:color w:val="000000"/>
          <w:szCs w:val="21"/>
        </w:rPr>
      </w:pPr>
      <w:r>
        <w:rPr>
          <w:rFonts w:hint="eastAsia" w:ascii="宋体" w:hAnsi="宋体"/>
          <w:color w:val="000000"/>
          <w:szCs w:val="21"/>
        </w:rPr>
        <w:t>供应商应以书面方式将质疑函分别送至采购人、采购代理机构；</w:t>
      </w:r>
    </w:p>
    <w:p>
      <w:pPr>
        <w:numPr>
          <w:ilvl w:val="0"/>
          <w:numId w:val="39"/>
        </w:numPr>
        <w:adjustRightInd w:val="0"/>
        <w:spacing w:line="360" w:lineRule="auto"/>
        <w:ind w:firstLine="480" w:firstLineChars="200"/>
        <w:jc w:val="left"/>
        <w:textAlignment w:val="baseline"/>
        <w:rPr>
          <w:rFonts w:ascii="宋体" w:hAnsi="宋体"/>
          <w:color w:val="000000"/>
          <w:szCs w:val="21"/>
        </w:rPr>
      </w:pPr>
      <w:r>
        <w:rPr>
          <w:rFonts w:hint="eastAsia" w:ascii="宋体" w:hAnsi="宋体"/>
          <w:color w:val="000000"/>
          <w:szCs w:val="21"/>
        </w:rPr>
        <w:t xml:space="preserve">采购人：武陟县疾病预防控制中心 </w:t>
      </w:r>
    </w:p>
    <w:p>
      <w:pPr>
        <w:adjustRightInd w:val="0"/>
        <w:spacing w:line="360" w:lineRule="auto"/>
        <w:ind w:firstLine="480" w:firstLineChars="200"/>
        <w:jc w:val="left"/>
        <w:textAlignment w:val="baseline"/>
        <w:rPr>
          <w:rFonts w:ascii="宋体" w:hAnsi="宋体"/>
          <w:color w:val="000000"/>
          <w:szCs w:val="21"/>
          <w:u w:val="single"/>
        </w:rPr>
      </w:pPr>
      <w:r>
        <w:rPr>
          <w:rFonts w:hint="eastAsia" w:ascii="宋体" w:hAnsi="宋体"/>
          <w:color w:val="000000"/>
          <w:szCs w:val="21"/>
        </w:rPr>
        <w:t xml:space="preserve">联系人：王自力            联系电话： 13782702999 </w:t>
      </w:r>
    </w:p>
    <w:p>
      <w:pPr>
        <w:adjustRightInd w:val="0"/>
        <w:spacing w:line="360" w:lineRule="auto"/>
        <w:ind w:firstLine="480" w:firstLineChars="200"/>
        <w:jc w:val="left"/>
        <w:textAlignment w:val="baseline"/>
        <w:rPr>
          <w:rFonts w:ascii="宋体" w:hAnsi="宋体"/>
          <w:color w:val="000000"/>
          <w:szCs w:val="21"/>
          <w:u w:val="single"/>
        </w:rPr>
      </w:pPr>
      <w:r>
        <w:rPr>
          <w:rFonts w:hint="eastAsia" w:ascii="宋体" w:hAnsi="宋体"/>
          <w:color w:val="000000"/>
          <w:szCs w:val="21"/>
        </w:rPr>
        <w:t>联系地址：焦作市武陟县黄河大道050号</w:t>
      </w:r>
    </w:p>
    <w:p>
      <w:pPr>
        <w:numPr>
          <w:ilvl w:val="0"/>
          <w:numId w:val="39"/>
        </w:numPr>
        <w:adjustRightInd w:val="0"/>
        <w:spacing w:line="360" w:lineRule="auto"/>
        <w:ind w:firstLine="480" w:firstLineChars="200"/>
        <w:jc w:val="left"/>
        <w:textAlignment w:val="baseline"/>
        <w:rPr>
          <w:rFonts w:ascii="宋体" w:hAnsi="宋体"/>
          <w:color w:val="000000"/>
          <w:szCs w:val="21"/>
        </w:rPr>
      </w:pPr>
      <w:r>
        <w:rPr>
          <w:rFonts w:hint="eastAsia" w:ascii="宋体" w:hAnsi="宋体"/>
          <w:color w:val="000000"/>
          <w:szCs w:val="21"/>
        </w:rPr>
        <w:t xml:space="preserve">采购代理机构：河南省光大建设管理有限公司     </w:t>
      </w:r>
    </w:p>
    <w:p>
      <w:pPr>
        <w:adjustRightInd w:val="0"/>
        <w:spacing w:line="360" w:lineRule="auto"/>
        <w:ind w:firstLine="480" w:firstLineChars="200"/>
        <w:jc w:val="left"/>
        <w:textAlignment w:val="baseline"/>
        <w:rPr>
          <w:rFonts w:ascii="宋体" w:hAnsi="宋体"/>
          <w:color w:val="000000"/>
          <w:szCs w:val="21"/>
        </w:rPr>
      </w:pPr>
      <w:r>
        <w:rPr>
          <w:rFonts w:hint="eastAsia" w:ascii="宋体" w:hAnsi="宋体"/>
          <w:color w:val="000000"/>
          <w:szCs w:val="21"/>
        </w:rPr>
        <w:t xml:space="preserve">联系人： 秦伟红 </w:t>
      </w:r>
    </w:p>
    <w:p>
      <w:pPr>
        <w:adjustRightInd w:val="0"/>
        <w:spacing w:line="360" w:lineRule="auto"/>
        <w:ind w:firstLine="480" w:firstLineChars="200"/>
        <w:jc w:val="left"/>
        <w:textAlignment w:val="baseline"/>
        <w:rPr>
          <w:rFonts w:ascii="宋体" w:hAnsi="宋体"/>
          <w:color w:val="000000"/>
          <w:szCs w:val="21"/>
        </w:rPr>
      </w:pPr>
      <w:r>
        <w:rPr>
          <w:rFonts w:hint="eastAsia" w:ascii="宋体" w:hAnsi="宋体"/>
          <w:color w:val="000000"/>
          <w:szCs w:val="21"/>
        </w:rPr>
        <w:t>联系电话：0391-7289803</w:t>
      </w:r>
    </w:p>
    <w:p>
      <w:pPr>
        <w:adjustRightInd w:val="0"/>
        <w:spacing w:line="360" w:lineRule="auto"/>
        <w:ind w:firstLine="480" w:firstLineChars="200"/>
        <w:jc w:val="left"/>
        <w:textAlignment w:val="baseline"/>
        <w:rPr>
          <w:rFonts w:ascii="宋体" w:hAnsi="宋体"/>
          <w:color w:val="000000"/>
          <w:szCs w:val="21"/>
          <w:u w:val="single"/>
        </w:rPr>
      </w:pPr>
      <w:r>
        <w:rPr>
          <w:rFonts w:hint="eastAsia" w:ascii="宋体" w:hAnsi="宋体"/>
          <w:color w:val="000000"/>
          <w:szCs w:val="21"/>
        </w:rPr>
        <w:t>联系地址：焦作市示范区正大国贸中心6号楼22层</w:t>
      </w:r>
    </w:p>
    <w:p>
      <w:pPr>
        <w:pStyle w:val="2"/>
        <w:rPr>
          <w:rFonts w:ascii="宋体" w:hAnsi="宋体"/>
        </w:rPr>
      </w:pPr>
    </w:p>
    <w:p>
      <w:pPr>
        <w:pStyle w:val="2"/>
        <w:rPr>
          <w:rFonts w:ascii="宋体" w:hAnsi="宋体"/>
        </w:rPr>
      </w:pPr>
    </w:p>
    <w:p>
      <w:pPr>
        <w:pStyle w:val="2"/>
        <w:rPr>
          <w:rFonts w:ascii="宋体" w:hAnsi="宋体"/>
        </w:rPr>
      </w:pPr>
    </w:p>
    <w:p>
      <w:pPr>
        <w:pStyle w:val="2"/>
        <w:rPr>
          <w:rFonts w:ascii="宋体" w:hAnsi="宋体"/>
        </w:rPr>
      </w:pPr>
    </w:p>
    <w:p>
      <w:pPr>
        <w:pStyle w:val="2"/>
        <w:rPr>
          <w:rFonts w:ascii="宋体" w:hAnsi="宋体"/>
        </w:rPr>
      </w:pPr>
    </w:p>
    <w:p>
      <w:pPr>
        <w:pStyle w:val="2"/>
        <w:rPr>
          <w:rFonts w:ascii="宋体" w:hAnsi="宋体"/>
        </w:rPr>
      </w:pPr>
    </w:p>
    <w:p>
      <w:pPr>
        <w:pStyle w:val="2"/>
        <w:rPr>
          <w:rFonts w:ascii="宋体" w:hAnsi="宋体"/>
        </w:rPr>
      </w:pPr>
    </w:p>
    <w:p>
      <w:pPr>
        <w:pStyle w:val="2"/>
        <w:rPr>
          <w:rFonts w:ascii="宋体" w:hAnsi="宋体"/>
        </w:rPr>
      </w:pPr>
    </w:p>
    <w:p>
      <w:pPr>
        <w:pStyle w:val="2"/>
        <w:rPr>
          <w:rFonts w:ascii="宋体" w:hAnsi="宋体"/>
        </w:rPr>
      </w:pPr>
    </w:p>
    <w:p>
      <w:pPr>
        <w:pStyle w:val="2"/>
        <w:rPr>
          <w:rFonts w:ascii="宋体" w:hAnsi="宋体"/>
        </w:rPr>
      </w:pPr>
    </w:p>
    <w:p>
      <w:pPr>
        <w:pStyle w:val="2"/>
        <w:rPr>
          <w:rFonts w:ascii="宋体" w:hAnsi="宋体"/>
        </w:rPr>
      </w:pPr>
    </w:p>
    <w:p>
      <w:pPr>
        <w:pStyle w:val="2"/>
        <w:rPr>
          <w:rFonts w:ascii="宋体" w:hAnsi="宋体"/>
        </w:rPr>
      </w:pPr>
    </w:p>
    <w:p>
      <w:pPr>
        <w:pStyle w:val="2"/>
        <w:rPr>
          <w:rFonts w:ascii="宋体" w:hAnsi="宋体"/>
        </w:rPr>
      </w:pPr>
    </w:p>
    <w:p>
      <w:pPr>
        <w:pStyle w:val="2"/>
        <w:rPr>
          <w:rFonts w:ascii="宋体" w:hAnsi="宋体"/>
        </w:rPr>
      </w:pPr>
    </w:p>
    <w:p>
      <w:pPr>
        <w:pStyle w:val="2"/>
        <w:rPr>
          <w:rFonts w:ascii="宋体" w:hAnsi="宋体"/>
        </w:rPr>
      </w:pPr>
    </w:p>
    <w:p>
      <w:pPr>
        <w:pStyle w:val="2"/>
        <w:rPr>
          <w:rFonts w:ascii="宋体" w:hAnsi="宋体"/>
        </w:rPr>
      </w:pPr>
    </w:p>
    <w:p>
      <w:pPr>
        <w:pStyle w:val="2"/>
        <w:rPr>
          <w:rFonts w:ascii="宋体" w:hAnsi="宋体"/>
        </w:rPr>
      </w:pPr>
    </w:p>
    <w:p>
      <w:pPr>
        <w:pStyle w:val="2"/>
        <w:rPr>
          <w:rFonts w:ascii="宋体" w:hAnsi="宋体"/>
        </w:rPr>
      </w:pPr>
    </w:p>
    <w:p>
      <w:pPr>
        <w:pStyle w:val="2"/>
        <w:rPr>
          <w:rFonts w:ascii="宋体" w:hAnsi="宋体"/>
        </w:rPr>
      </w:pPr>
    </w:p>
    <w:p>
      <w:pPr>
        <w:pStyle w:val="2"/>
        <w:rPr>
          <w:rFonts w:ascii="宋体" w:hAnsi="宋体"/>
        </w:rPr>
      </w:pPr>
    </w:p>
    <w:p>
      <w:pPr>
        <w:pStyle w:val="2"/>
        <w:rPr>
          <w:rFonts w:ascii="宋体" w:hAnsi="宋体"/>
        </w:rPr>
      </w:pPr>
    </w:p>
    <w:p>
      <w:pPr>
        <w:pStyle w:val="2"/>
        <w:rPr>
          <w:rFonts w:ascii="宋体" w:hAnsi="宋体"/>
        </w:rPr>
      </w:pPr>
    </w:p>
    <w:p>
      <w:pPr>
        <w:pStyle w:val="32"/>
        <w:numPr>
          <w:ilvl w:val="0"/>
          <w:numId w:val="2"/>
        </w:numPr>
        <w:spacing w:line="480" w:lineRule="exact"/>
        <w:ind w:right="-72" w:rightChars="-30"/>
        <w:rPr>
          <w:rFonts w:ascii="宋体" w:hAnsi="宋体" w:cs="宋体"/>
          <w:bCs w:val="0"/>
        </w:rPr>
      </w:pPr>
      <w:bookmarkStart w:id="27" w:name="_Toc17444524"/>
      <w:r>
        <w:rPr>
          <w:rFonts w:hint="eastAsia" w:ascii="宋体" w:hAnsi="宋体" w:cs="宋体"/>
          <w:bCs w:val="0"/>
        </w:rPr>
        <w:t>拟签订的合同文本</w:t>
      </w:r>
      <w:bookmarkEnd w:id="27"/>
    </w:p>
    <w:p>
      <w:pPr>
        <w:spacing w:line="360" w:lineRule="auto"/>
        <w:ind w:firstLine="480"/>
        <w:jc w:val="center"/>
        <w:rPr>
          <w:rFonts w:ascii="宋体" w:hAnsi="宋体"/>
          <w:bCs/>
          <w:szCs w:val="21"/>
        </w:rPr>
      </w:pPr>
      <w:r>
        <w:rPr>
          <w:rFonts w:hint="eastAsia" w:ascii="宋体" w:hAnsi="宋体"/>
          <w:bCs/>
          <w:szCs w:val="21"/>
        </w:rPr>
        <w:t>（仅供参考）</w:t>
      </w:r>
    </w:p>
    <w:p>
      <w:pPr>
        <w:pStyle w:val="12"/>
        <w:ind w:firstLine="480"/>
        <w:rPr>
          <w:rFonts w:ascii="宋体" w:hAnsi="宋体" w:eastAsia="宋体" w:cs="宋体"/>
        </w:rPr>
      </w:pPr>
    </w:p>
    <w:p>
      <w:pPr>
        <w:pStyle w:val="12"/>
        <w:ind w:firstLine="480"/>
        <w:rPr>
          <w:rFonts w:ascii="宋体" w:hAnsi="宋体" w:eastAsia="宋体" w:cs="宋体"/>
        </w:rPr>
      </w:pPr>
    </w:p>
    <w:p>
      <w:pPr>
        <w:tabs>
          <w:tab w:val="left" w:pos="523"/>
          <w:tab w:val="left" w:pos="898"/>
          <w:tab w:val="center" w:pos="4213"/>
        </w:tabs>
        <w:jc w:val="center"/>
        <w:rPr>
          <w:rFonts w:ascii="宋体" w:hAnsi="宋体"/>
          <w:b/>
          <w:bCs/>
          <w:sz w:val="28"/>
          <w:szCs w:val="28"/>
        </w:rPr>
      </w:pPr>
      <w:r>
        <w:rPr>
          <w:rFonts w:hint="eastAsia" w:ascii="宋体" w:hAnsi="宋体"/>
          <w:b/>
          <w:bCs/>
          <w:sz w:val="44"/>
          <w:szCs w:val="44"/>
        </w:rPr>
        <w:t>项目</w:t>
      </w:r>
    </w:p>
    <w:p>
      <w:pPr>
        <w:jc w:val="center"/>
        <w:rPr>
          <w:rFonts w:ascii="宋体" w:hAnsi="宋体"/>
          <w:b/>
          <w:bCs/>
          <w:sz w:val="28"/>
          <w:szCs w:val="28"/>
        </w:rPr>
      </w:pPr>
    </w:p>
    <w:p>
      <w:pPr>
        <w:jc w:val="center"/>
        <w:rPr>
          <w:rFonts w:ascii="宋体" w:hAnsi="宋体"/>
          <w:b/>
          <w:bCs/>
          <w:sz w:val="56"/>
          <w:szCs w:val="56"/>
        </w:rPr>
      </w:pPr>
    </w:p>
    <w:p>
      <w:pPr>
        <w:jc w:val="center"/>
        <w:rPr>
          <w:rFonts w:ascii="宋体" w:hAnsi="宋体"/>
          <w:b/>
          <w:bCs/>
          <w:sz w:val="56"/>
          <w:szCs w:val="56"/>
        </w:rPr>
      </w:pPr>
      <w:r>
        <w:rPr>
          <w:rFonts w:hint="eastAsia" w:ascii="宋体" w:hAnsi="宋体"/>
          <w:b/>
          <w:bCs/>
          <w:sz w:val="56"/>
          <w:szCs w:val="56"/>
        </w:rPr>
        <w:t>合</w:t>
      </w:r>
    </w:p>
    <w:p>
      <w:pPr>
        <w:jc w:val="center"/>
        <w:rPr>
          <w:rFonts w:ascii="宋体" w:hAnsi="宋体"/>
          <w:b/>
          <w:bCs/>
          <w:sz w:val="56"/>
          <w:szCs w:val="56"/>
        </w:rPr>
      </w:pPr>
    </w:p>
    <w:p>
      <w:pPr>
        <w:jc w:val="center"/>
        <w:rPr>
          <w:rFonts w:ascii="宋体" w:hAnsi="宋体"/>
          <w:b/>
          <w:bCs/>
          <w:sz w:val="56"/>
          <w:szCs w:val="56"/>
        </w:rPr>
      </w:pPr>
      <w:r>
        <w:rPr>
          <w:rFonts w:hint="eastAsia" w:ascii="宋体" w:hAnsi="宋体"/>
          <w:b/>
          <w:bCs/>
          <w:sz w:val="56"/>
          <w:szCs w:val="56"/>
        </w:rPr>
        <w:t>同</w:t>
      </w:r>
    </w:p>
    <w:p>
      <w:pPr>
        <w:jc w:val="center"/>
        <w:rPr>
          <w:rFonts w:ascii="宋体" w:hAnsi="宋体"/>
          <w:b/>
          <w:bCs/>
          <w:sz w:val="56"/>
          <w:szCs w:val="56"/>
        </w:rPr>
      </w:pPr>
    </w:p>
    <w:p>
      <w:pPr>
        <w:jc w:val="center"/>
        <w:rPr>
          <w:rFonts w:ascii="宋体" w:hAnsi="宋体"/>
          <w:b/>
          <w:bCs/>
          <w:sz w:val="56"/>
          <w:szCs w:val="56"/>
        </w:rPr>
      </w:pPr>
      <w:r>
        <w:rPr>
          <w:rFonts w:hint="eastAsia" w:ascii="宋体" w:hAnsi="宋体"/>
          <w:b/>
          <w:bCs/>
          <w:sz w:val="56"/>
          <w:szCs w:val="56"/>
        </w:rPr>
        <w:t>书</w:t>
      </w:r>
    </w:p>
    <w:p>
      <w:pPr>
        <w:jc w:val="center"/>
        <w:rPr>
          <w:rFonts w:ascii="宋体" w:hAnsi="宋体"/>
          <w:b/>
          <w:bCs/>
          <w:sz w:val="28"/>
          <w:szCs w:val="28"/>
        </w:rPr>
      </w:pPr>
    </w:p>
    <w:p>
      <w:pPr>
        <w:jc w:val="center"/>
        <w:rPr>
          <w:rFonts w:ascii="宋体" w:hAnsi="宋体"/>
          <w:b/>
          <w:bCs/>
          <w:sz w:val="28"/>
          <w:szCs w:val="28"/>
        </w:rPr>
      </w:pPr>
    </w:p>
    <w:p>
      <w:pPr>
        <w:jc w:val="center"/>
        <w:rPr>
          <w:rFonts w:ascii="宋体" w:hAnsi="宋体"/>
          <w:b/>
          <w:bCs/>
          <w:sz w:val="28"/>
          <w:szCs w:val="28"/>
        </w:rPr>
      </w:pPr>
    </w:p>
    <w:p>
      <w:pPr>
        <w:spacing w:line="600" w:lineRule="exact"/>
        <w:jc w:val="left"/>
        <w:rPr>
          <w:rFonts w:ascii="宋体" w:hAnsi="宋体"/>
          <w:b/>
          <w:bCs/>
          <w:sz w:val="28"/>
          <w:szCs w:val="28"/>
        </w:rPr>
      </w:pPr>
      <w:r>
        <w:rPr>
          <w:rFonts w:hint="eastAsia" w:ascii="宋体" w:hAnsi="宋体"/>
          <w:b/>
          <w:bCs/>
          <w:sz w:val="28"/>
          <w:szCs w:val="28"/>
        </w:rPr>
        <w:t xml:space="preserve">      采购项目编号： </w:t>
      </w:r>
    </w:p>
    <w:p>
      <w:pPr>
        <w:spacing w:line="600" w:lineRule="exact"/>
        <w:rPr>
          <w:rFonts w:ascii="宋体" w:hAnsi="宋体"/>
          <w:b/>
          <w:bCs/>
          <w:sz w:val="28"/>
          <w:szCs w:val="28"/>
        </w:rPr>
      </w:pPr>
      <w:r>
        <w:rPr>
          <w:rFonts w:hint="eastAsia" w:ascii="宋体" w:hAnsi="宋体"/>
          <w:b/>
          <w:bCs/>
          <w:sz w:val="28"/>
          <w:szCs w:val="28"/>
        </w:rPr>
        <w:t xml:space="preserve">      甲方(采购人)：                   住所地：                                             </w:t>
      </w:r>
    </w:p>
    <w:p>
      <w:pPr>
        <w:spacing w:line="600" w:lineRule="exact"/>
        <w:ind w:firstLine="843" w:firstLineChars="300"/>
        <w:rPr>
          <w:rFonts w:ascii="宋体" w:hAnsi="宋体"/>
          <w:b/>
          <w:bCs/>
          <w:sz w:val="28"/>
          <w:szCs w:val="28"/>
        </w:rPr>
      </w:pPr>
      <w:r>
        <w:rPr>
          <w:rFonts w:hint="eastAsia" w:ascii="宋体" w:hAnsi="宋体"/>
          <w:b/>
          <w:bCs/>
          <w:sz w:val="28"/>
          <w:szCs w:val="28"/>
        </w:rPr>
        <w:t>乙方（中标人）：                 住所地：</w:t>
      </w:r>
    </w:p>
    <w:p>
      <w:pPr>
        <w:spacing w:line="600" w:lineRule="exact"/>
        <w:rPr>
          <w:rFonts w:ascii="宋体" w:hAnsi="宋体"/>
          <w:b/>
          <w:bCs/>
          <w:sz w:val="28"/>
          <w:szCs w:val="28"/>
        </w:rPr>
      </w:pPr>
    </w:p>
    <w:p>
      <w:pPr>
        <w:spacing w:line="600" w:lineRule="exact"/>
        <w:ind w:firstLine="843" w:firstLineChars="300"/>
        <w:rPr>
          <w:rFonts w:ascii="宋体" w:hAnsi="宋体"/>
          <w:b/>
          <w:bCs/>
          <w:sz w:val="28"/>
          <w:szCs w:val="28"/>
        </w:rPr>
      </w:pPr>
      <w:r>
        <w:rPr>
          <w:rFonts w:hint="eastAsia" w:ascii="宋体" w:hAnsi="宋体"/>
          <w:b/>
          <w:bCs/>
          <w:sz w:val="28"/>
          <w:szCs w:val="28"/>
        </w:rPr>
        <w:t>合同签订地点：　　　　　</w:t>
      </w:r>
    </w:p>
    <w:p>
      <w:pPr>
        <w:spacing w:line="600" w:lineRule="exact"/>
        <w:ind w:firstLine="843" w:firstLineChars="300"/>
        <w:rPr>
          <w:rFonts w:ascii="宋体" w:hAnsi="宋体"/>
          <w:b/>
          <w:bCs/>
          <w:sz w:val="28"/>
          <w:szCs w:val="28"/>
        </w:rPr>
      </w:pPr>
      <w:r>
        <w:rPr>
          <w:rFonts w:hint="eastAsia" w:ascii="宋体" w:hAnsi="宋体"/>
          <w:b/>
          <w:bCs/>
          <w:sz w:val="28"/>
          <w:szCs w:val="28"/>
        </w:rPr>
        <w:t>签订日期：    年   月   日</w:t>
      </w:r>
    </w:p>
    <w:p>
      <w:pPr>
        <w:spacing w:line="600" w:lineRule="exact"/>
        <w:rPr>
          <w:rFonts w:ascii="宋体" w:hAnsi="宋体"/>
          <w:b/>
          <w:bCs/>
          <w:sz w:val="28"/>
          <w:szCs w:val="28"/>
        </w:rPr>
      </w:pPr>
    </w:p>
    <w:p>
      <w:pPr>
        <w:spacing w:line="450" w:lineRule="exact"/>
        <w:rPr>
          <w:rFonts w:ascii="宋体" w:hAnsi="宋体"/>
          <w:b/>
          <w:bCs/>
          <w:sz w:val="28"/>
          <w:szCs w:val="28"/>
        </w:rPr>
      </w:pPr>
    </w:p>
    <w:p>
      <w:pPr>
        <w:spacing w:line="450" w:lineRule="exact"/>
        <w:rPr>
          <w:rFonts w:ascii="宋体" w:hAnsi="宋体"/>
          <w:szCs w:val="21"/>
        </w:rPr>
      </w:pPr>
    </w:p>
    <w:tbl>
      <w:tblPr>
        <w:tblStyle w:val="36"/>
        <w:tblW w:w="0" w:type="auto"/>
        <w:jc w:val="center"/>
        <w:tblLayout w:type="fixed"/>
        <w:tblCellMar>
          <w:top w:w="0" w:type="dxa"/>
          <w:left w:w="108" w:type="dxa"/>
          <w:bottom w:w="0" w:type="dxa"/>
          <w:right w:w="108" w:type="dxa"/>
        </w:tblCellMar>
      </w:tblPr>
      <w:tblGrid>
        <w:gridCol w:w="8620"/>
      </w:tblGrid>
      <w:tr>
        <w:tblPrEx>
          <w:tblCellMar>
            <w:top w:w="0" w:type="dxa"/>
            <w:left w:w="108" w:type="dxa"/>
            <w:bottom w:w="0" w:type="dxa"/>
            <w:right w:w="108" w:type="dxa"/>
          </w:tblCellMar>
        </w:tblPrEx>
        <w:trPr>
          <w:trHeight w:val="1265" w:hRule="atLeast"/>
          <w:jc w:val="center"/>
        </w:trPr>
        <w:tc>
          <w:tcPr>
            <w:tcW w:w="8620" w:type="dxa"/>
            <w:tcBorders>
              <w:top w:val="single" w:color="000000" w:sz="4" w:space="0"/>
              <w:left w:val="single" w:color="000000" w:sz="4" w:space="0"/>
              <w:bottom w:val="single" w:color="000000" w:sz="4" w:space="0"/>
              <w:right w:val="single" w:color="000000" w:sz="4" w:space="0"/>
            </w:tcBorders>
          </w:tcPr>
          <w:p>
            <w:pPr>
              <w:spacing w:line="500" w:lineRule="exact"/>
              <w:ind w:firstLine="840" w:firstLineChars="350"/>
              <w:rPr>
                <w:rFonts w:ascii="宋体" w:hAnsi="宋体"/>
                <w:kern w:val="0"/>
                <w:szCs w:val="21"/>
              </w:rPr>
            </w:pPr>
            <w:r>
              <w:rPr>
                <w:rFonts w:hint="eastAsia" w:ascii="宋体" w:hAnsi="宋体"/>
                <w:szCs w:val="21"/>
              </w:rPr>
              <w:t>注释：本合同协议书格式条款作为双方签订合同的参考。双方为阐明各方的权利和义务，经协商可增加或减少条款。但不得与招标文件、投标文件的实质性内容相背离。</w:t>
            </w:r>
          </w:p>
        </w:tc>
      </w:tr>
    </w:tbl>
    <w:p>
      <w:pPr>
        <w:widowControl/>
        <w:spacing w:line="360" w:lineRule="auto"/>
        <w:ind w:firstLine="720" w:firstLineChars="300"/>
        <w:rPr>
          <w:rFonts w:ascii="宋体" w:hAnsi="宋体"/>
          <w:kern w:val="0"/>
          <w:szCs w:val="21"/>
        </w:rPr>
      </w:pPr>
    </w:p>
    <w:p>
      <w:pPr>
        <w:widowControl/>
        <w:spacing w:line="360" w:lineRule="auto"/>
        <w:ind w:firstLine="560"/>
        <w:jc w:val="left"/>
        <w:rPr>
          <w:rFonts w:ascii="宋体" w:hAnsi="宋体"/>
          <w:kern w:val="0"/>
          <w:szCs w:val="21"/>
        </w:rPr>
      </w:pPr>
      <w:r>
        <w:rPr>
          <w:rFonts w:hint="eastAsia" w:ascii="宋体" w:hAnsi="宋体"/>
          <w:kern w:val="0"/>
          <w:szCs w:val="21"/>
        </w:rPr>
        <w:t xml:space="preserve"> 根据《中华人民共和国政府采购法》、《中华人民共和国合同法》等法律法规的规定，甲乙双方按照本项目的招标结果（项目名称：</w:t>
      </w:r>
      <w:r>
        <w:rPr>
          <w:rFonts w:hint="eastAsia" w:ascii="宋体" w:hAnsi="宋体"/>
          <w:kern w:val="0"/>
          <w:szCs w:val="21"/>
          <w:u w:val="single"/>
        </w:rPr>
        <w:t>　　　　　　　</w:t>
      </w:r>
      <w:r>
        <w:rPr>
          <w:rFonts w:hint="eastAsia" w:ascii="宋体" w:hAnsi="宋体"/>
          <w:kern w:val="0"/>
          <w:szCs w:val="21"/>
        </w:rPr>
        <w:t>，项目编号：</w:t>
      </w:r>
      <w:r>
        <w:rPr>
          <w:rFonts w:hint="eastAsia" w:ascii="宋体" w:hAnsi="宋体"/>
          <w:kern w:val="0"/>
          <w:szCs w:val="21"/>
          <w:u w:val="single"/>
        </w:rPr>
        <w:t>　　　　　　　</w:t>
      </w:r>
      <w:r>
        <w:rPr>
          <w:rFonts w:hint="eastAsia" w:ascii="宋体" w:hAnsi="宋体"/>
          <w:kern w:val="0"/>
          <w:szCs w:val="21"/>
        </w:rPr>
        <w:t>）签订本合同。</w:t>
      </w:r>
    </w:p>
    <w:p>
      <w:pPr>
        <w:widowControl/>
        <w:spacing w:line="360" w:lineRule="auto"/>
        <w:ind w:firstLine="482" w:firstLineChars="200"/>
        <w:rPr>
          <w:rFonts w:ascii="宋体" w:hAnsi="宋体"/>
          <w:kern w:val="0"/>
          <w:szCs w:val="21"/>
        </w:rPr>
      </w:pPr>
      <w:r>
        <w:rPr>
          <w:rFonts w:hint="eastAsia" w:ascii="宋体" w:hAnsi="宋体"/>
          <w:b/>
          <w:bCs/>
          <w:kern w:val="0"/>
          <w:szCs w:val="21"/>
        </w:rPr>
        <w:t xml:space="preserve">第一条：合同标的   </w:t>
      </w:r>
      <w:r>
        <w:rPr>
          <w:rFonts w:hint="eastAsia" w:ascii="宋体" w:hAnsi="宋体"/>
          <w:kern w:val="0"/>
          <w:szCs w:val="21"/>
        </w:rPr>
        <w:t>乙方应根据本项目要求按下列清单提供货物（或服务项目的服务范围与内容），包括产品主机、随机备品备件及专用工具等：</w:t>
      </w:r>
    </w:p>
    <w:tbl>
      <w:tblPr>
        <w:tblStyle w:val="36"/>
        <w:tblW w:w="0" w:type="auto"/>
        <w:tblInd w:w="249" w:type="dxa"/>
        <w:tblLayout w:type="fixed"/>
        <w:tblCellMar>
          <w:top w:w="0" w:type="dxa"/>
          <w:left w:w="108" w:type="dxa"/>
          <w:bottom w:w="0" w:type="dxa"/>
          <w:right w:w="108" w:type="dxa"/>
        </w:tblCellMar>
      </w:tblPr>
      <w:tblGrid>
        <w:gridCol w:w="1020"/>
        <w:gridCol w:w="1155"/>
        <w:gridCol w:w="1485"/>
        <w:gridCol w:w="960"/>
        <w:gridCol w:w="1215"/>
        <w:gridCol w:w="1140"/>
        <w:gridCol w:w="855"/>
        <w:gridCol w:w="1485"/>
      </w:tblGrid>
      <w:tr>
        <w:tblPrEx>
          <w:tblCellMar>
            <w:top w:w="0" w:type="dxa"/>
            <w:left w:w="108" w:type="dxa"/>
            <w:bottom w:w="0" w:type="dxa"/>
            <w:right w:w="108" w:type="dxa"/>
          </w:tblCellMar>
        </w:tblPrEx>
        <w:trPr>
          <w:trHeight w:val="646" w:hRule="atLeast"/>
        </w:trPr>
        <w:tc>
          <w:tcPr>
            <w:tcW w:w="1020"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rPr>
                <w:rFonts w:ascii="宋体" w:hAnsi="宋体"/>
                <w:kern w:val="0"/>
                <w:szCs w:val="21"/>
              </w:rPr>
            </w:pPr>
            <w:r>
              <w:rPr>
                <w:rFonts w:hint="eastAsia" w:ascii="宋体" w:hAnsi="宋体"/>
                <w:kern w:val="0"/>
                <w:szCs w:val="21"/>
              </w:rPr>
              <w:t>产品名称</w:t>
            </w:r>
          </w:p>
        </w:tc>
        <w:tc>
          <w:tcPr>
            <w:tcW w:w="1155" w:type="dxa"/>
            <w:tcBorders>
              <w:top w:val="single" w:color="000000" w:sz="4" w:space="0"/>
              <w:left w:val="nil"/>
              <w:bottom w:val="single" w:color="000000" w:sz="4" w:space="0"/>
              <w:right w:val="single" w:color="000000" w:sz="4" w:space="0"/>
            </w:tcBorders>
            <w:vAlign w:val="center"/>
          </w:tcPr>
          <w:p>
            <w:pPr>
              <w:widowControl/>
              <w:spacing w:line="360" w:lineRule="auto"/>
              <w:jc w:val="center"/>
              <w:rPr>
                <w:rFonts w:ascii="宋体" w:hAnsi="宋体"/>
                <w:kern w:val="0"/>
                <w:szCs w:val="21"/>
              </w:rPr>
            </w:pPr>
            <w:r>
              <w:rPr>
                <w:rFonts w:hint="eastAsia" w:ascii="宋体" w:hAnsi="宋体"/>
                <w:kern w:val="0"/>
                <w:szCs w:val="21"/>
              </w:rPr>
              <w:t>规格型号</w:t>
            </w:r>
          </w:p>
        </w:tc>
        <w:tc>
          <w:tcPr>
            <w:tcW w:w="1485" w:type="dxa"/>
            <w:tcBorders>
              <w:top w:val="single" w:color="000000" w:sz="4" w:space="0"/>
              <w:left w:val="nil"/>
              <w:bottom w:val="single" w:color="000000" w:sz="4" w:space="0"/>
              <w:right w:val="single" w:color="000000" w:sz="4" w:space="0"/>
            </w:tcBorders>
            <w:vAlign w:val="center"/>
          </w:tcPr>
          <w:p>
            <w:pPr>
              <w:widowControl/>
              <w:spacing w:line="360" w:lineRule="auto"/>
              <w:jc w:val="center"/>
              <w:rPr>
                <w:rFonts w:ascii="宋体" w:hAnsi="宋体"/>
                <w:kern w:val="0"/>
                <w:szCs w:val="21"/>
              </w:rPr>
            </w:pPr>
            <w:r>
              <w:rPr>
                <w:rFonts w:hint="eastAsia" w:ascii="宋体" w:hAnsi="宋体"/>
                <w:kern w:val="0"/>
                <w:szCs w:val="21"/>
              </w:rPr>
              <w:t>生产厂家</w:t>
            </w:r>
          </w:p>
        </w:tc>
        <w:tc>
          <w:tcPr>
            <w:tcW w:w="960" w:type="dxa"/>
            <w:tcBorders>
              <w:top w:val="single" w:color="000000" w:sz="4" w:space="0"/>
              <w:left w:val="nil"/>
              <w:bottom w:val="single" w:color="000000" w:sz="4" w:space="0"/>
              <w:right w:val="single" w:color="000000" w:sz="4" w:space="0"/>
            </w:tcBorders>
            <w:vAlign w:val="center"/>
          </w:tcPr>
          <w:p>
            <w:pPr>
              <w:widowControl/>
              <w:spacing w:line="360" w:lineRule="auto"/>
              <w:jc w:val="center"/>
              <w:rPr>
                <w:rFonts w:ascii="宋体" w:hAnsi="宋体"/>
                <w:kern w:val="0"/>
                <w:szCs w:val="21"/>
              </w:rPr>
            </w:pPr>
            <w:r>
              <w:rPr>
                <w:rFonts w:hint="eastAsia" w:ascii="宋体" w:hAnsi="宋体"/>
                <w:kern w:val="0"/>
                <w:szCs w:val="21"/>
              </w:rPr>
              <w:t>数量</w:t>
            </w:r>
          </w:p>
        </w:tc>
        <w:tc>
          <w:tcPr>
            <w:tcW w:w="1215" w:type="dxa"/>
            <w:tcBorders>
              <w:top w:val="single" w:color="000000" w:sz="4" w:space="0"/>
              <w:left w:val="nil"/>
              <w:bottom w:val="single" w:color="000000" w:sz="4" w:space="0"/>
              <w:right w:val="single" w:color="000000" w:sz="4" w:space="0"/>
            </w:tcBorders>
            <w:vAlign w:val="center"/>
          </w:tcPr>
          <w:p>
            <w:pPr>
              <w:widowControl/>
              <w:spacing w:line="360" w:lineRule="auto"/>
              <w:jc w:val="center"/>
              <w:rPr>
                <w:rFonts w:ascii="宋体" w:hAnsi="宋体"/>
                <w:kern w:val="0"/>
                <w:szCs w:val="21"/>
              </w:rPr>
            </w:pPr>
            <w:r>
              <w:rPr>
                <w:rFonts w:hint="eastAsia" w:ascii="宋体" w:hAnsi="宋体"/>
                <w:kern w:val="0"/>
                <w:szCs w:val="21"/>
              </w:rPr>
              <w:t>数 量</w:t>
            </w:r>
          </w:p>
          <w:p>
            <w:pPr>
              <w:widowControl/>
              <w:spacing w:line="360" w:lineRule="auto"/>
              <w:jc w:val="center"/>
              <w:rPr>
                <w:rFonts w:ascii="宋体" w:hAnsi="宋体"/>
                <w:kern w:val="0"/>
                <w:szCs w:val="21"/>
              </w:rPr>
            </w:pPr>
            <w:r>
              <w:rPr>
                <w:rFonts w:hint="eastAsia" w:ascii="宋体" w:hAnsi="宋体"/>
                <w:kern w:val="0"/>
                <w:szCs w:val="21"/>
              </w:rPr>
              <w:t>单 位</w:t>
            </w:r>
          </w:p>
        </w:tc>
        <w:tc>
          <w:tcPr>
            <w:tcW w:w="1140" w:type="dxa"/>
            <w:tcBorders>
              <w:top w:val="single" w:color="000000" w:sz="4" w:space="0"/>
              <w:left w:val="nil"/>
              <w:bottom w:val="single" w:color="000000" w:sz="4" w:space="0"/>
              <w:right w:val="single" w:color="000000" w:sz="4" w:space="0"/>
            </w:tcBorders>
            <w:vAlign w:val="center"/>
          </w:tcPr>
          <w:p>
            <w:pPr>
              <w:widowControl/>
              <w:spacing w:line="360" w:lineRule="auto"/>
              <w:jc w:val="center"/>
              <w:rPr>
                <w:rFonts w:ascii="宋体" w:hAnsi="宋体"/>
                <w:kern w:val="0"/>
                <w:szCs w:val="21"/>
              </w:rPr>
            </w:pPr>
            <w:r>
              <w:rPr>
                <w:rFonts w:hint="eastAsia" w:ascii="宋体" w:hAnsi="宋体"/>
                <w:kern w:val="0"/>
                <w:szCs w:val="21"/>
              </w:rPr>
              <w:t>单 价</w:t>
            </w:r>
          </w:p>
        </w:tc>
        <w:tc>
          <w:tcPr>
            <w:tcW w:w="855" w:type="dxa"/>
            <w:tcBorders>
              <w:top w:val="single" w:color="000000" w:sz="4" w:space="0"/>
              <w:left w:val="nil"/>
              <w:bottom w:val="single" w:color="000000" w:sz="4" w:space="0"/>
              <w:right w:val="single" w:color="000000" w:sz="4" w:space="0"/>
            </w:tcBorders>
            <w:vAlign w:val="center"/>
          </w:tcPr>
          <w:p>
            <w:pPr>
              <w:widowControl/>
              <w:spacing w:line="360" w:lineRule="auto"/>
              <w:jc w:val="center"/>
              <w:rPr>
                <w:rFonts w:ascii="宋体" w:hAnsi="宋体"/>
                <w:kern w:val="0"/>
                <w:szCs w:val="21"/>
              </w:rPr>
            </w:pPr>
            <w:r>
              <w:rPr>
                <w:rFonts w:hint="eastAsia" w:ascii="宋体" w:hAnsi="宋体"/>
                <w:kern w:val="0"/>
                <w:szCs w:val="21"/>
              </w:rPr>
              <w:t>总 价</w:t>
            </w:r>
          </w:p>
        </w:tc>
        <w:tc>
          <w:tcPr>
            <w:tcW w:w="1485" w:type="dxa"/>
            <w:tcBorders>
              <w:top w:val="single" w:color="000000" w:sz="4" w:space="0"/>
              <w:left w:val="nil"/>
              <w:bottom w:val="single" w:color="000000" w:sz="4" w:space="0"/>
              <w:right w:val="single" w:color="000000" w:sz="4" w:space="0"/>
            </w:tcBorders>
            <w:vAlign w:val="center"/>
          </w:tcPr>
          <w:p>
            <w:pPr>
              <w:widowControl/>
              <w:spacing w:line="360" w:lineRule="auto"/>
              <w:jc w:val="center"/>
              <w:rPr>
                <w:rFonts w:ascii="宋体" w:hAnsi="宋体"/>
                <w:kern w:val="0"/>
                <w:szCs w:val="21"/>
              </w:rPr>
            </w:pPr>
            <w:r>
              <w:rPr>
                <w:rFonts w:hint="eastAsia" w:ascii="宋体" w:hAnsi="宋体"/>
                <w:kern w:val="0"/>
                <w:szCs w:val="21"/>
              </w:rPr>
              <w:t>交货期</w:t>
            </w:r>
          </w:p>
        </w:tc>
      </w:tr>
      <w:tr>
        <w:tblPrEx>
          <w:tblCellMar>
            <w:top w:w="0" w:type="dxa"/>
            <w:left w:w="108" w:type="dxa"/>
            <w:bottom w:w="0" w:type="dxa"/>
            <w:right w:w="108" w:type="dxa"/>
          </w:tblCellMar>
        </w:tblPrEx>
        <w:trPr>
          <w:trHeight w:val="454" w:hRule="exact"/>
        </w:trPr>
        <w:tc>
          <w:tcPr>
            <w:tcW w:w="1020" w:type="dxa"/>
            <w:tcBorders>
              <w:top w:val="single" w:color="000000" w:sz="4" w:space="0"/>
              <w:left w:val="single" w:color="000000" w:sz="4" w:space="0"/>
              <w:bottom w:val="single" w:color="000000" w:sz="4" w:space="0"/>
              <w:right w:val="single" w:color="000000" w:sz="4" w:space="0"/>
            </w:tcBorders>
          </w:tcPr>
          <w:p>
            <w:pPr>
              <w:widowControl/>
              <w:spacing w:line="360" w:lineRule="auto"/>
              <w:rPr>
                <w:rFonts w:ascii="宋体" w:hAnsi="宋体"/>
                <w:kern w:val="0"/>
                <w:szCs w:val="21"/>
              </w:rPr>
            </w:pPr>
          </w:p>
        </w:tc>
        <w:tc>
          <w:tcPr>
            <w:tcW w:w="1155" w:type="dxa"/>
            <w:tcBorders>
              <w:top w:val="single" w:color="000000" w:sz="4" w:space="0"/>
              <w:left w:val="nil"/>
              <w:bottom w:val="single" w:color="000000" w:sz="4" w:space="0"/>
              <w:right w:val="single" w:color="000000" w:sz="4" w:space="0"/>
            </w:tcBorders>
          </w:tcPr>
          <w:p>
            <w:pPr>
              <w:widowControl/>
              <w:spacing w:line="360" w:lineRule="auto"/>
              <w:rPr>
                <w:rFonts w:ascii="宋体" w:hAnsi="宋体"/>
                <w:kern w:val="0"/>
                <w:szCs w:val="21"/>
              </w:rPr>
            </w:pPr>
          </w:p>
        </w:tc>
        <w:tc>
          <w:tcPr>
            <w:tcW w:w="1485" w:type="dxa"/>
            <w:tcBorders>
              <w:top w:val="single" w:color="000000" w:sz="4" w:space="0"/>
              <w:left w:val="nil"/>
              <w:bottom w:val="single" w:color="000000" w:sz="4" w:space="0"/>
              <w:right w:val="single" w:color="000000" w:sz="4" w:space="0"/>
            </w:tcBorders>
          </w:tcPr>
          <w:p>
            <w:pPr>
              <w:widowControl/>
              <w:spacing w:line="360" w:lineRule="auto"/>
              <w:rPr>
                <w:rFonts w:ascii="宋体" w:hAnsi="宋体"/>
                <w:kern w:val="0"/>
                <w:szCs w:val="21"/>
              </w:rPr>
            </w:pPr>
          </w:p>
        </w:tc>
        <w:tc>
          <w:tcPr>
            <w:tcW w:w="960" w:type="dxa"/>
            <w:tcBorders>
              <w:top w:val="single" w:color="000000" w:sz="4" w:space="0"/>
              <w:left w:val="nil"/>
              <w:bottom w:val="single" w:color="000000" w:sz="4" w:space="0"/>
              <w:right w:val="single" w:color="000000" w:sz="4" w:space="0"/>
            </w:tcBorders>
          </w:tcPr>
          <w:p>
            <w:pPr>
              <w:widowControl/>
              <w:spacing w:line="360" w:lineRule="auto"/>
              <w:rPr>
                <w:rFonts w:ascii="宋体" w:hAnsi="宋体"/>
                <w:kern w:val="0"/>
                <w:szCs w:val="21"/>
              </w:rPr>
            </w:pPr>
          </w:p>
        </w:tc>
        <w:tc>
          <w:tcPr>
            <w:tcW w:w="1215" w:type="dxa"/>
            <w:tcBorders>
              <w:top w:val="single" w:color="000000" w:sz="4" w:space="0"/>
              <w:left w:val="nil"/>
              <w:bottom w:val="single" w:color="000000" w:sz="4" w:space="0"/>
              <w:right w:val="single" w:color="000000" w:sz="4" w:space="0"/>
            </w:tcBorders>
          </w:tcPr>
          <w:p>
            <w:pPr>
              <w:widowControl/>
              <w:spacing w:line="360" w:lineRule="auto"/>
              <w:rPr>
                <w:rFonts w:ascii="宋体" w:hAnsi="宋体"/>
                <w:kern w:val="0"/>
                <w:szCs w:val="21"/>
              </w:rPr>
            </w:pPr>
          </w:p>
        </w:tc>
        <w:tc>
          <w:tcPr>
            <w:tcW w:w="1140" w:type="dxa"/>
            <w:tcBorders>
              <w:top w:val="single" w:color="000000" w:sz="4" w:space="0"/>
              <w:left w:val="nil"/>
              <w:bottom w:val="single" w:color="000000" w:sz="4" w:space="0"/>
              <w:right w:val="single" w:color="000000" w:sz="4" w:space="0"/>
            </w:tcBorders>
          </w:tcPr>
          <w:p>
            <w:pPr>
              <w:widowControl/>
              <w:spacing w:line="360" w:lineRule="auto"/>
              <w:rPr>
                <w:rFonts w:ascii="宋体" w:hAnsi="宋体"/>
                <w:kern w:val="0"/>
                <w:szCs w:val="21"/>
              </w:rPr>
            </w:pPr>
          </w:p>
        </w:tc>
        <w:tc>
          <w:tcPr>
            <w:tcW w:w="855" w:type="dxa"/>
            <w:tcBorders>
              <w:top w:val="single" w:color="000000" w:sz="4" w:space="0"/>
              <w:left w:val="nil"/>
              <w:bottom w:val="single" w:color="000000" w:sz="4" w:space="0"/>
              <w:right w:val="single" w:color="000000" w:sz="4" w:space="0"/>
            </w:tcBorders>
          </w:tcPr>
          <w:p>
            <w:pPr>
              <w:widowControl/>
              <w:spacing w:line="360" w:lineRule="auto"/>
              <w:rPr>
                <w:rFonts w:ascii="宋体" w:hAnsi="宋体"/>
                <w:kern w:val="0"/>
                <w:szCs w:val="21"/>
              </w:rPr>
            </w:pPr>
          </w:p>
        </w:tc>
        <w:tc>
          <w:tcPr>
            <w:tcW w:w="1485" w:type="dxa"/>
            <w:tcBorders>
              <w:top w:val="single" w:color="000000" w:sz="4" w:space="0"/>
              <w:left w:val="nil"/>
              <w:bottom w:val="single" w:color="000000" w:sz="4" w:space="0"/>
              <w:right w:val="single" w:color="000000" w:sz="4" w:space="0"/>
            </w:tcBorders>
          </w:tcPr>
          <w:p>
            <w:pPr>
              <w:widowControl/>
              <w:spacing w:line="360" w:lineRule="auto"/>
              <w:rPr>
                <w:rFonts w:ascii="宋体" w:hAnsi="宋体"/>
                <w:kern w:val="0"/>
                <w:szCs w:val="21"/>
              </w:rPr>
            </w:pPr>
          </w:p>
        </w:tc>
      </w:tr>
      <w:tr>
        <w:tblPrEx>
          <w:tblCellMar>
            <w:top w:w="0" w:type="dxa"/>
            <w:left w:w="108" w:type="dxa"/>
            <w:bottom w:w="0" w:type="dxa"/>
            <w:right w:w="108" w:type="dxa"/>
          </w:tblCellMar>
        </w:tblPrEx>
        <w:trPr>
          <w:trHeight w:val="454" w:hRule="exact"/>
        </w:trPr>
        <w:tc>
          <w:tcPr>
            <w:tcW w:w="1020" w:type="dxa"/>
            <w:tcBorders>
              <w:top w:val="single" w:color="000000" w:sz="4" w:space="0"/>
              <w:left w:val="single" w:color="000000" w:sz="4" w:space="0"/>
              <w:bottom w:val="single" w:color="000000" w:sz="4" w:space="0"/>
              <w:right w:val="single" w:color="000000" w:sz="4" w:space="0"/>
            </w:tcBorders>
          </w:tcPr>
          <w:p>
            <w:pPr>
              <w:widowControl/>
              <w:spacing w:line="360" w:lineRule="auto"/>
              <w:rPr>
                <w:rFonts w:ascii="宋体" w:hAnsi="宋体"/>
                <w:kern w:val="0"/>
                <w:szCs w:val="21"/>
              </w:rPr>
            </w:pPr>
          </w:p>
        </w:tc>
        <w:tc>
          <w:tcPr>
            <w:tcW w:w="1155" w:type="dxa"/>
            <w:tcBorders>
              <w:top w:val="single" w:color="000000" w:sz="4" w:space="0"/>
              <w:left w:val="nil"/>
              <w:bottom w:val="single" w:color="000000" w:sz="4" w:space="0"/>
              <w:right w:val="single" w:color="000000" w:sz="4" w:space="0"/>
            </w:tcBorders>
          </w:tcPr>
          <w:p>
            <w:pPr>
              <w:widowControl/>
              <w:spacing w:line="360" w:lineRule="auto"/>
              <w:rPr>
                <w:rFonts w:ascii="宋体" w:hAnsi="宋体"/>
                <w:kern w:val="0"/>
                <w:szCs w:val="21"/>
              </w:rPr>
            </w:pPr>
          </w:p>
        </w:tc>
        <w:tc>
          <w:tcPr>
            <w:tcW w:w="1485" w:type="dxa"/>
            <w:tcBorders>
              <w:top w:val="single" w:color="000000" w:sz="4" w:space="0"/>
              <w:left w:val="nil"/>
              <w:bottom w:val="single" w:color="000000" w:sz="4" w:space="0"/>
              <w:right w:val="single" w:color="000000" w:sz="4" w:space="0"/>
            </w:tcBorders>
          </w:tcPr>
          <w:p>
            <w:pPr>
              <w:widowControl/>
              <w:spacing w:line="360" w:lineRule="auto"/>
              <w:rPr>
                <w:rFonts w:ascii="宋体" w:hAnsi="宋体"/>
                <w:kern w:val="0"/>
                <w:szCs w:val="21"/>
              </w:rPr>
            </w:pPr>
          </w:p>
        </w:tc>
        <w:tc>
          <w:tcPr>
            <w:tcW w:w="960" w:type="dxa"/>
            <w:tcBorders>
              <w:top w:val="single" w:color="000000" w:sz="4" w:space="0"/>
              <w:left w:val="nil"/>
              <w:bottom w:val="single" w:color="000000" w:sz="4" w:space="0"/>
              <w:right w:val="single" w:color="000000" w:sz="4" w:space="0"/>
            </w:tcBorders>
          </w:tcPr>
          <w:p>
            <w:pPr>
              <w:widowControl/>
              <w:spacing w:line="360" w:lineRule="auto"/>
              <w:rPr>
                <w:rFonts w:ascii="宋体" w:hAnsi="宋体"/>
                <w:kern w:val="0"/>
                <w:szCs w:val="21"/>
              </w:rPr>
            </w:pPr>
          </w:p>
        </w:tc>
        <w:tc>
          <w:tcPr>
            <w:tcW w:w="1215" w:type="dxa"/>
            <w:tcBorders>
              <w:top w:val="single" w:color="000000" w:sz="4" w:space="0"/>
              <w:left w:val="nil"/>
              <w:bottom w:val="single" w:color="000000" w:sz="4" w:space="0"/>
              <w:right w:val="single" w:color="000000" w:sz="4" w:space="0"/>
            </w:tcBorders>
          </w:tcPr>
          <w:p>
            <w:pPr>
              <w:widowControl/>
              <w:spacing w:line="360" w:lineRule="auto"/>
              <w:rPr>
                <w:rFonts w:ascii="宋体" w:hAnsi="宋体"/>
                <w:kern w:val="0"/>
                <w:szCs w:val="21"/>
              </w:rPr>
            </w:pPr>
          </w:p>
        </w:tc>
        <w:tc>
          <w:tcPr>
            <w:tcW w:w="1140" w:type="dxa"/>
            <w:tcBorders>
              <w:top w:val="single" w:color="000000" w:sz="4" w:space="0"/>
              <w:left w:val="nil"/>
              <w:bottom w:val="single" w:color="000000" w:sz="4" w:space="0"/>
              <w:right w:val="single" w:color="000000" w:sz="4" w:space="0"/>
            </w:tcBorders>
          </w:tcPr>
          <w:p>
            <w:pPr>
              <w:widowControl/>
              <w:spacing w:line="360" w:lineRule="auto"/>
              <w:rPr>
                <w:rFonts w:ascii="宋体" w:hAnsi="宋体"/>
                <w:kern w:val="0"/>
                <w:szCs w:val="21"/>
              </w:rPr>
            </w:pPr>
          </w:p>
        </w:tc>
        <w:tc>
          <w:tcPr>
            <w:tcW w:w="855" w:type="dxa"/>
            <w:tcBorders>
              <w:top w:val="single" w:color="000000" w:sz="4" w:space="0"/>
              <w:left w:val="nil"/>
              <w:bottom w:val="single" w:color="000000" w:sz="4" w:space="0"/>
              <w:right w:val="single" w:color="000000" w:sz="4" w:space="0"/>
            </w:tcBorders>
          </w:tcPr>
          <w:p>
            <w:pPr>
              <w:widowControl/>
              <w:spacing w:line="360" w:lineRule="auto"/>
              <w:rPr>
                <w:rFonts w:ascii="宋体" w:hAnsi="宋体"/>
                <w:kern w:val="0"/>
                <w:szCs w:val="21"/>
              </w:rPr>
            </w:pPr>
          </w:p>
        </w:tc>
        <w:tc>
          <w:tcPr>
            <w:tcW w:w="1485" w:type="dxa"/>
            <w:tcBorders>
              <w:top w:val="single" w:color="000000" w:sz="4" w:space="0"/>
              <w:left w:val="nil"/>
              <w:bottom w:val="single" w:color="000000" w:sz="4" w:space="0"/>
              <w:right w:val="single" w:color="000000" w:sz="4" w:space="0"/>
            </w:tcBorders>
          </w:tcPr>
          <w:p>
            <w:pPr>
              <w:widowControl/>
              <w:spacing w:line="360" w:lineRule="auto"/>
              <w:rPr>
                <w:rFonts w:ascii="宋体" w:hAnsi="宋体"/>
                <w:kern w:val="0"/>
                <w:szCs w:val="21"/>
              </w:rPr>
            </w:pPr>
          </w:p>
        </w:tc>
      </w:tr>
      <w:tr>
        <w:tblPrEx>
          <w:tblCellMar>
            <w:top w:w="0" w:type="dxa"/>
            <w:left w:w="108" w:type="dxa"/>
            <w:bottom w:w="0" w:type="dxa"/>
            <w:right w:w="108" w:type="dxa"/>
          </w:tblCellMar>
        </w:tblPrEx>
        <w:trPr>
          <w:trHeight w:val="454" w:hRule="exact"/>
        </w:trPr>
        <w:tc>
          <w:tcPr>
            <w:tcW w:w="1020" w:type="dxa"/>
            <w:tcBorders>
              <w:top w:val="single" w:color="000000" w:sz="4" w:space="0"/>
              <w:left w:val="single" w:color="000000" w:sz="4" w:space="0"/>
              <w:bottom w:val="single" w:color="000000" w:sz="4" w:space="0"/>
              <w:right w:val="single" w:color="000000" w:sz="4" w:space="0"/>
            </w:tcBorders>
          </w:tcPr>
          <w:p>
            <w:pPr>
              <w:widowControl/>
              <w:spacing w:line="360" w:lineRule="auto"/>
              <w:rPr>
                <w:rFonts w:ascii="宋体" w:hAnsi="宋体"/>
                <w:kern w:val="0"/>
                <w:szCs w:val="21"/>
              </w:rPr>
            </w:pPr>
          </w:p>
        </w:tc>
        <w:tc>
          <w:tcPr>
            <w:tcW w:w="1155" w:type="dxa"/>
            <w:tcBorders>
              <w:top w:val="single" w:color="000000" w:sz="4" w:space="0"/>
              <w:left w:val="nil"/>
              <w:bottom w:val="single" w:color="000000" w:sz="4" w:space="0"/>
              <w:right w:val="single" w:color="000000" w:sz="4" w:space="0"/>
            </w:tcBorders>
          </w:tcPr>
          <w:p>
            <w:pPr>
              <w:widowControl/>
              <w:spacing w:line="360" w:lineRule="auto"/>
              <w:rPr>
                <w:rFonts w:ascii="宋体" w:hAnsi="宋体"/>
                <w:kern w:val="0"/>
                <w:szCs w:val="21"/>
              </w:rPr>
            </w:pPr>
          </w:p>
        </w:tc>
        <w:tc>
          <w:tcPr>
            <w:tcW w:w="1485" w:type="dxa"/>
            <w:tcBorders>
              <w:top w:val="single" w:color="000000" w:sz="4" w:space="0"/>
              <w:left w:val="nil"/>
              <w:bottom w:val="single" w:color="000000" w:sz="4" w:space="0"/>
              <w:right w:val="single" w:color="000000" w:sz="4" w:space="0"/>
            </w:tcBorders>
          </w:tcPr>
          <w:p>
            <w:pPr>
              <w:widowControl/>
              <w:spacing w:line="360" w:lineRule="auto"/>
              <w:rPr>
                <w:rFonts w:ascii="宋体" w:hAnsi="宋体"/>
                <w:kern w:val="0"/>
                <w:szCs w:val="21"/>
              </w:rPr>
            </w:pPr>
          </w:p>
        </w:tc>
        <w:tc>
          <w:tcPr>
            <w:tcW w:w="960" w:type="dxa"/>
            <w:tcBorders>
              <w:top w:val="single" w:color="000000" w:sz="4" w:space="0"/>
              <w:left w:val="nil"/>
              <w:bottom w:val="single" w:color="000000" w:sz="4" w:space="0"/>
              <w:right w:val="single" w:color="000000" w:sz="4" w:space="0"/>
            </w:tcBorders>
          </w:tcPr>
          <w:p>
            <w:pPr>
              <w:widowControl/>
              <w:spacing w:line="360" w:lineRule="auto"/>
              <w:rPr>
                <w:rFonts w:ascii="宋体" w:hAnsi="宋体"/>
                <w:kern w:val="0"/>
                <w:szCs w:val="21"/>
              </w:rPr>
            </w:pPr>
          </w:p>
        </w:tc>
        <w:tc>
          <w:tcPr>
            <w:tcW w:w="1215" w:type="dxa"/>
            <w:tcBorders>
              <w:top w:val="single" w:color="000000" w:sz="4" w:space="0"/>
              <w:left w:val="nil"/>
              <w:bottom w:val="single" w:color="000000" w:sz="4" w:space="0"/>
              <w:right w:val="single" w:color="000000" w:sz="4" w:space="0"/>
            </w:tcBorders>
          </w:tcPr>
          <w:p>
            <w:pPr>
              <w:widowControl/>
              <w:spacing w:line="360" w:lineRule="auto"/>
              <w:rPr>
                <w:rFonts w:ascii="宋体" w:hAnsi="宋体"/>
                <w:kern w:val="0"/>
                <w:szCs w:val="21"/>
              </w:rPr>
            </w:pPr>
          </w:p>
        </w:tc>
        <w:tc>
          <w:tcPr>
            <w:tcW w:w="1140" w:type="dxa"/>
            <w:tcBorders>
              <w:top w:val="single" w:color="000000" w:sz="4" w:space="0"/>
              <w:left w:val="nil"/>
              <w:bottom w:val="single" w:color="000000" w:sz="4" w:space="0"/>
              <w:right w:val="single" w:color="000000" w:sz="4" w:space="0"/>
            </w:tcBorders>
          </w:tcPr>
          <w:p>
            <w:pPr>
              <w:widowControl/>
              <w:spacing w:line="360" w:lineRule="auto"/>
              <w:rPr>
                <w:rFonts w:ascii="宋体" w:hAnsi="宋体"/>
                <w:kern w:val="0"/>
                <w:szCs w:val="21"/>
              </w:rPr>
            </w:pPr>
          </w:p>
        </w:tc>
        <w:tc>
          <w:tcPr>
            <w:tcW w:w="855" w:type="dxa"/>
            <w:tcBorders>
              <w:top w:val="single" w:color="000000" w:sz="4" w:space="0"/>
              <w:left w:val="nil"/>
              <w:bottom w:val="single" w:color="000000" w:sz="4" w:space="0"/>
              <w:right w:val="single" w:color="000000" w:sz="4" w:space="0"/>
            </w:tcBorders>
          </w:tcPr>
          <w:p>
            <w:pPr>
              <w:widowControl/>
              <w:spacing w:line="360" w:lineRule="auto"/>
              <w:rPr>
                <w:rFonts w:ascii="宋体" w:hAnsi="宋体"/>
                <w:kern w:val="0"/>
                <w:szCs w:val="21"/>
              </w:rPr>
            </w:pPr>
          </w:p>
        </w:tc>
        <w:tc>
          <w:tcPr>
            <w:tcW w:w="1485" w:type="dxa"/>
            <w:tcBorders>
              <w:top w:val="single" w:color="000000" w:sz="4" w:space="0"/>
              <w:left w:val="nil"/>
              <w:bottom w:val="single" w:color="000000" w:sz="4" w:space="0"/>
              <w:right w:val="single" w:color="000000" w:sz="4" w:space="0"/>
            </w:tcBorders>
          </w:tcPr>
          <w:p>
            <w:pPr>
              <w:widowControl/>
              <w:spacing w:line="360" w:lineRule="auto"/>
              <w:rPr>
                <w:rFonts w:ascii="宋体" w:hAnsi="宋体"/>
                <w:kern w:val="0"/>
                <w:szCs w:val="21"/>
              </w:rPr>
            </w:pPr>
          </w:p>
        </w:tc>
      </w:tr>
      <w:tr>
        <w:tblPrEx>
          <w:tblCellMar>
            <w:top w:w="0" w:type="dxa"/>
            <w:left w:w="108" w:type="dxa"/>
            <w:bottom w:w="0" w:type="dxa"/>
            <w:right w:w="108" w:type="dxa"/>
          </w:tblCellMar>
        </w:tblPrEx>
        <w:trPr>
          <w:trHeight w:val="454" w:hRule="exact"/>
        </w:trPr>
        <w:tc>
          <w:tcPr>
            <w:tcW w:w="1020" w:type="dxa"/>
            <w:tcBorders>
              <w:top w:val="single" w:color="000000" w:sz="4" w:space="0"/>
              <w:left w:val="single" w:color="000000" w:sz="4" w:space="0"/>
              <w:bottom w:val="single" w:color="000000" w:sz="4" w:space="0"/>
              <w:right w:val="single" w:color="000000" w:sz="4" w:space="0"/>
            </w:tcBorders>
          </w:tcPr>
          <w:p>
            <w:pPr>
              <w:widowControl/>
              <w:spacing w:line="360" w:lineRule="auto"/>
              <w:rPr>
                <w:rFonts w:ascii="宋体" w:hAnsi="宋体"/>
                <w:kern w:val="0"/>
                <w:szCs w:val="21"/>
              </w:rPr>
            </w:pPr>
          </w:p>
        </w:tc>
        <w:tc>
          <w:tcPr>
            <w:tcW w:w="1155" w:type="dxa"/>
            <w:tcBorders>
              <w:top w:val="single" w:color="000000" w:sz="4" w:space="0"/>
              <w:left w:val="nil"/>
              <w:bottom w:val="single" w:color="000000" w:sz="4" w:space="0"/>
              <w:right w:val="single" w:color="000000" w:sz="4" w:space="0"/>
            </w:tcBorders>
          </w:tcPr>
          <w:p>
            <w:pPr>
              <w:widowControl/>
              <w:spacing w:line="360" w:lineRule="auto"/>
              <w:rPr>
                <w:rFonts w:ascii="宋体" w:hAnsi="宋体"/>
                <w:kern w:val="0"/>
                <w:szCs w:val="21"/>
              </w:rPr>
            </w:pPr>
          </w:p>
        </w:tc>
        <w:tc>
          <w:tcPr>
            <w:tcW w:w="1485" w:type="dxa"/>
            <w:tcBorders>
              <w:top w:val="single" w:color="000000" w:sz="4" w:space="0"/>
              <w:left w:val="nil"/>
              <w:bottom w:val="single" w:color="000000" w:sz="4" w:space="0"/>
              <w:right w:val="single" w:color="000000" w:sz="4" w:space="0"/>
            </w:tcBorders>
          </w:tcPr>
          <w:p>
            <w:pPr>
              <w:widowControl/>
              <w:spacing w:line="360" w:lineRule="auto"/>
              <w:rPr>
                <w:rFonts w:ascii="宋体" w:hAnsi="宋体"/>
                <w:kern w:val="0"/>
                <w:szCs w:val="21"/>
              </w:rPr>
            </w:pPr>
          </w:p>
        </w:tc>
        <w:tc>
          <w:tcPr>
            <w:tcW w:w="960" w:type="dxa"/>
            <w:tcBorders>
              <w:top w:val="single" w:color="000000" w:sz="4" w:space="0"/>
              <w:left w:val="nil"/>
              <w:bottom w:val="single" w:color="000000" w:sz="4" w:space="0"/>
              <w:right w:val="single" w:color="000000" w:sz="4" w:space="0"/>
            </w:tcBorders>
          </w:tcPr>
          <w:p>
            <w:pPr>
              <w:widowControl/>
              <w:spacing w:line="360" w:lineRule="auto"/>
              <w:rPr>
                <w:rFonts w:ascii="宋体" w:hAnsi="宋体"/>
                <w:kern w:val="0"/>
                <w:szCs w:val="21"/>
              </w:rPr>
            </w:pPr>
          </w:p>
        </w:tc>
        <w:tc>
          <w:tcPr>
            <w:tcW w:w="1215" w:type="dxa"/>
            <w:tcBorders>
              <w:top w:val="single" w:color="000000" w:sz="4" w:space="0"/>
              <w:left w:val="nil"/>
              <w:bottom w:val="single" w:color="000000" w:sz="4" w:space="0"/>
              <w:right w:val="single" w:color="000000" w:sz="4" w:space="0"/>
            </w:tcBorders>
          </w:tcPr>
          <w:p>
            <w:pPr>
              <w:widowControl/>
              <w:spacing w:line="360" w:lineRule="auto"/>
              <w:rPr>
                <w:rFonts w:ascii="宋体" w:hAnsi="宋体"/>
                <w:kern w:val="0"/>
                <w:szCs w:val="21"/>
              </w:rPr>
            </w:pPr>
          </w:p>
        </w:tc>
        <w:tc>
          <w:tcPr>
            <w:tcW w:w="1140" w:type="dxa"/>
            <w:tcBorders>
              <w:top w:val="single" w:color="000000" w:sz="4" w:space="0"/>
              <w:left w:val="nil"/>
              <w:bottom w:val="single" w:color="000000" w:sz="4" w:space="0"/>
              <w:right w:val="single" w:color="000000" w:sz="4" w:space="0"/>
            </w:tcBorders>
          </w:tcPr>
          <w:p>
            <w:pPr>
              <w:widowControl/>
              <w:spacing w:line="360" w:lineRule="auto"/>
              <w:rPr>
                <w:rFonts w:ascii="宋体" w:hAnsi="宋体"/>
                <w:kern w:val="0"/>
                <w:szCs w:val="21"/>
              </w:rPr>
            </w:pPr>
          </w:p>
        </w:tc>
        <w:tc>
          <w:tcPr>
            <w:tcW w:w="855" w:type="dxa"/>
            <w:tcBorders>
              <w:top w:val="single" w:color="000000" w:sz="4" w:space="0"/>
              <w:left w:val="nil"/>
              <w:bottom w:val="single" w:color="000000" w:sz="4" w:space="0"/>
              <w:right w:val="single" w:color="000000" w:sz="4" w:space="0"/>
            </w:tcBorders>
          </w:tcPr>
          <w:p>
            <w:pPr>
              <w:widowControl/>
              <w:spacing w:line="360" w:lineRule="auto"/>
              <w:rPr>
                <w:rFonts w:ascii="宋体" w:hAnsi="宋体"/>
                <w:kern w:val="0"/>
                <w:szCs w:val="21"/>
              </w:rPr>
            </w:pPr>
          </w:p>
        </w:tc>
        <w:tc>
          <w:tcPr>
            <w:tcW w:w="1485" w:type="dxa"/>
            <w:tcBorders>
              <w:top w:val="single" w:color="000000" w:sz="4" w:space="0"/>
              <w:left w:val="nil"/>
              <w:bottom w:val="single" w:color="000000" w:sz="4" w:space="0"/>
              <w:right w:val="single" w:color="000000" w:sz="4" w:space="0"/>
            </w:tcBorders>
          </w:tcPr>
          <w:p>
            <w:pPr>
              <w:widowControl/>
              <w:spacing w:line="360" w:lineRule="auto"/>
              <w:rPr>
                <w:rFonts w:ascii="宋体" w:hAnsi="宋体"/>
                <w:kern w:val="0"/>
                <w:szCs w:val="21"/>
              </w:rPr>
            </w:pPr>
          </w:p>
        </w:tc>
      </w:tr>
      <w:tr>
        <w:tblPrEx>
          <w:tblCellMar>
            <w:top w:w="0" w:type="dxa"/>
            <w:left w:w="108" w:type="dxa"/>
            <w:bottom w:w="0" w:type="dxa"/>
            <w:right w:w="108" w:type="dxa"/>
          </w:tblCellMar>
        </w:tblPrEx>
        <w:trPr>
          <w:trHeight w:val="599" w:hRule="atLeast"/>
        </w:trPr>
        <w:tc>
          <w:tcPr>
            <w:tcW w:w="9315" w:type="dxa"/>
            <w:gridSpan w:val="8"/>
            <w:tcBorders>
              <w:top w:val="single" w:color="000000" w:sz="4" w:space="0"/>
              <w:left w:val="single" w:color="000000" w:sz="4" w:space="0"/>
              <w:bottom w:val="single" w:color="000000" w:sz="4" w:space="0"/>
              <w:right w:val="single" w:color="000000" w:sz="4" w:space="0"/>
            </w:tcBorders>
          </w:tcPr>
          <w:p>
            <w:pPr>
              <w:widowControl/>
              <w:spacing w:line="360" w:lineRule="auto"/>
              <w:rPr>
                <w:rFonts w:ascii="宋体" w:hAnsi="宋体"/>
                <w:kern w:val="0"/>
                <w:szCs w:val="21"/>
              </w:rPr>
            </w:pPr>
            <w:r>
              <w:rPr>
                <w:rFonts w:hint="eastAsia" w:ascii="宋体" w:hAnsi="宋体"/>
                <w:kern w:val="0"/>
                <w:szCs w:val="21"/>
              </w:rPr>
              <w:t>合同总金额（大写）人民币（¥：）</w:t>
            </w:r>
          </w:p>
        </w:tc>
      </w:tr>
    </w:tbl>
    <w:p>
      <w:pPr>
        <w:widowControl/>
        <w:spacing w:line="360" w:lineRule="auto"/>
        <w:ind w:firstLine="482" w:firstLineChars="200"/>
        <w:jc w:val="left"/>
        <w:rPr>
          <w:rFonts w:ascii="宋体" w:hAnsi="宋体"/>
          <w:kern w:val="0"/>
          <w:szCs w:val="21"/>
        </w:rPr>
      </w:pPr>
      <w:r>
        <w:rPr>
          <w:rFonts w:hint="eastAsia" w:ascii="宋体" w:hAnsi="宋体"/>
          <w:b/>
          <w:bCs/>
          <w:kern w:val="0"/>
          <w:szCs w:val="21"/>
        </w:rPr>
        <w:t xml:space="preserve">第二条：合同总价款    </w:t>
      </w:r>
      <w:r>
        <w:rPr>
          <w:rFonts w:hint="eastAsia" w:ascii="宋体" w:hAnsi="宋体"/>
          <w:kern w:val="0"/>
          <w:szCs w:val="21"/>
        </w:rPr>
        <w:t>本合同项下货物（服务）的总价款为人民币（大写）：</w:t>
      </w:r>
      <w:r>
        <w:rPr>
          <w:rFonts w:hint="eastAsia" w:ascii="宋体" w:hAnsi="宋体"/>
          <w:bCs/>
          <w:kern w:val="0"/>
          <w:szCs w:val="21"/>
        </w:rPr>
        <w:t>（</w:t>
      </w:r>
      <w:r>
        <w:rPr>
          <w:rFonts w:hint="eastAsia" w:ascii="宋体" w:hAnsi="宋体"/>
          <w:kern w:val="0"/>
          <w:szCs w:val="21"/>
        </w:rPr>
        <w:t>￥：</w:t>
      </w:r>
      <w:r>
        <w:rPr>
          <w:rFonts w:hint="eastAsia" w:ascii="宋体" w:hAnsi="宋体"/>
          <w:kern w:val="0"/>
          <w:szCs w:val="21"/>
          <w:u w:val="single"/>
        </w:rPr>
        <w:t>　　　　　</w:t>
      </w:r>
      <w:r>
        <w:rPr>
          <w:rFonts w:hint="eastAsia" w:ascii="宋体" w:hAnsi="宋体"/>
          <w:kern w:val="0"/>
          <w:szCs w:val="21"/>
        </w:rPr>
        <w:t>）。合同总价款中包含：本招标采购对象，及与之相关的</w:t>
      </w:r>
      <w:r>
        <w:rPr>
          <w:rFonts w:hint="eastAsia" w:ascii="宋体" w:hAnsi="宋体"/>
          <w:szCs w:val="21"/>
        </w:rPr>
        <w:t>货物设计、制造、包装、运输、装卸、</w:t>
      </w:r>
      <w:r>
        <w:rPr>
          <w:rFonts w:hint="eastAsia" w:ascii="宋体" w:hAnsi="宋体"/>
          <w:kern w:val="0"/>
          <w:szCs w:val="21"/>
        </w:rPr>
        <w:t>安装、调试、</w:t>
      </w:r>
      <w:r>
        <w:rPr>
          <w:rFonts w:hint="eastAsia" w:ascii="宋体" w:hAnsi="宋体"/>
          <w:szCs w:val="21"/>
        </w:rPr>
        <w:t>质量检验、各项税费、保险费、意外事故、等</w:t>
      </w:r>
      <w:r>
        <w:rPr>
          <w:rFonts w:hint="eastAsia" w:ascii="宋体" w:hAnsi="宋体"/>
          <w:kern w:val="0"/>
          <w:szCs w:val="21"/>
        </w:rPr>
        <w:t>验收合格前全部</w:t>
      </w:r>
      <w:r>
        <w:rPr>
          <w:rFonts w:hint="eastAsia" w:ascii="宋体" w:hAnsi="宋体"/>
          <w:szCs w:val="21"/>
        </w:rPr>
        <w:t>费用</w:t>
      </w:r>
      <w:r>
        <w:rPr>
          <w:rFonts w:hint="eastAsia" w:ascii="宋体" w:hAnsi="宋体"/>
          <w:kern w:val="0"/>
          <w:szCs w:val="21"/>
        </w:rPr>
        <w:t>，以及备品备件、专用工具、技术培训、技术资料、保修期内的各项保修和系统维护费用、相应的伴随服务和售后服务费用等。</w:t>
      </w:r>
    </w:p>
    <w:p>
      <w:pPr>
        <w:widowControl/>
        <w:spacing w:line="360" w:lineRule="auto"/>
        <w:ind w:firstLine="482" w:firstLineChars="200"/>
        <w:jc w:val="left"/>
        <w:rPr>
          <w:rFonts w:ascii="宋体" w:hAnsi="宋体"/>
          <w:kern w:val="0"/>
          <w:szCs w:val="21"/>
        </w:rPr>
      </w:pPr>
      <w:r>
        <w:rPr>
          <w:rFonts w:hint="eastAsia" w:ascii="宋体" w:hAnsi="宋体"/>
          <w:b/>
          <w:bCs/>
          <w:kern w:val="0"/>
          <w:szCs w:val="21"/>
        </w:rPr>
        <w:t>第三条：组成本合同的有关文件　　</w:t>
      </w:r>
      <w:r>
        <w:rPr>
          <w:rFonts w:hint="eastAsia" w:ascii="宋体" w:hAnsi="宋体"/>
          <w:kern w:val="0"/>
          <w:szCs w:val="21"/>
        </w:rPr>
        <w:t>本采购项目的招标文件及补充文件、乙方投标文件、中标通知书、经双方和有关监督部门同意的相关变更、补充协议、澄清确认函（如果有的话）及与本次采购活动相关的文件及附件是本合同不可分割的组成部分，与本合同具有同等法律效力。</w:t>
      </w:r>
    </w:p>
    <w:p>
      <w:pPr>
        <w:widowControl/>
        <w:spacing w:line="360" w:lineRule="auto"/>
        <w:ind w:firstLine="482" w:firstLineChars="200"/>
        <w:jc w:val="left"/>
        <w:rPr>
          <w:rFonts w:ascii="宋体" w:hAnsi="宋体"/>
          <w:b/>
          <w:bCs/>
          <w:kern w:val="0"/>
          <w:szCs w:val="21"/>
        </w:rPr>
      </w:pPr>
      <w:r>
        <w:rPr>
          <w:rFonts w:hint="eastAsia" w:ascii="宋体" w:hAnsi="宋体"/>
          <w:b/>
          <w:bCs/>
          <w:kern w:val="0"/>
          <w:szCs w:val="21"/>
        </w:rPr>
        <w:t>第四条  权利保证　　</w:t>
      </w:r>
      <w:r>
        <w:rPr>
          <w:rFonts w:hint="eastAsia" w:ascii="宋体" w:hAnsi="宋体"/>
          <w:kern w:val="0"/>
          <w:szCs w:val="21"/>
        </w:rPr>
        <w:t>乙方应保证甲方在使用该货物（服务）或其任何一部分时不受第三方提出侵犯其专利权、版权、商标权或其他权利的起诉。一旦出现侵权，乙方应承担全部责任。</w:t>
      </w:r>
    </w:p>
    <w:p>
      <w:pPr>
        <w:widowControl/>
        <w:spacing w:line="360" w:lineRule="auto"/>
        <w:ind w:firstLine="482" w:firstLineChars="200"/>
        <w:jc w:val="left"/>
        <w:rPr>
          <w:rFonts w:ascii="宋体" w:hAnsi="宋体"/>
          <w:b/>
          <w:bCs/>
          <w:kern w:val="0"/>
          <w:szCs w:val="21"/>
        </w:rPr>
      </w:pPr>
      <w:r>
        <w:rPr>
          <w:rFonts w:hint="eastAsia" w:ascii="宋体" w:hAnsi="宋体"/>
          <w:b/>
          <w:bCs/>
          <w:kern w:val="0"/>
          <w:szCs w:val="21"/>
        </w:rPr>
        <w:t>第五条  质量保证</w:t>
      </w:r>
    </w:p>
    <w:p>
      <w:pPr>
        <w:widowControl/>
        <w:spacing w:line="360" w:lineRule="auto"/>
        <w:ind w:firstLine="480" w:firstLineChars="200"/>
        <w:jc w:val="left"/>
        <w:rPr>
          <w:rFonts w:ascii="宋体" w:hAnsi="宋体"/>
          <w:b/>
          <w:bCs/>
          <w:kern w:val="0"/>
          <w:szCs w:val="21"/>
        </w:rPr>
      </w:pPr>
      <w:r>
        <w:rPr>
          <w:rFonts w:hint="eastAsia" w:ascii="宋体" w:hAnsi="宋体"/>
          <w:kern w:val="0"/>
          <w:szCs w:val="21"/>
        </w:rPr>
        <w:t>1、乙方所提供的货物（服务）的技术规格标准应与招标文件规定的技术规格标准相一致；若技术性能标准无特殊说明，则按国家有关部门最新颁布的标准及规范为准。</w:t>
      </w:r>
    </w:p>
    <w:p>
      <w:pPr>
        <w:widowControl/>
        <w:spacing w:line="360" w:lineRule="auto"/>
        <w:ind w:firstLine="480" w:firstLineChars="200"/>
        <w:jc w:val="left"/>
        <w:rPr>
          <w:rFonts w:ascii="宋体" w:hAnsi="宋体"/>
          <w:kern w:val="0"/>
          <w:szCs w:val="21"/>
        </w:rPr>
      </w:pPr>
      <w:r>
        <w:rPr>
          <w:rFonts w:hint="eastAsia" w:ascii="宋体" w:hAnsi="宋体"/>
          <w:kern w:val="0"/>
          <w:szCs w:val="21"/>
        </w:rPr>
        <w:t>2、乙方应保证货物是全新、未使用过的原装合格正品，并完全符合本项目规定的质量、规格和性能的要求。乙方应保证其提供的货物在正确安装、正常使用和保养条件下，在其使用寿命期限内具有良好的性能。货物验收后，在质量保证期内，乙方应对由于设计、工艺或材料的缺陷所发生的任何不足或故障负责，所需费用由乙方承担。</w:t>
      </w:r>
    </w:p>
    <w:p>
      <w:pPr>
        <w:widowControl/>
        <w:spacing w:line="360" w:lineRule="auto"/>
        <w:ind w:firstLine="482" w:firstLineChars="200"/>
        <w:jc w:val="left"/>
        <w:rPr>
          <w:rFonts w:ascii="宋体" w:hAnsi="宋体"/>
          <w:b/>
          <w:bCs/>
          <w:kern w:val="0"/>
          <w:szCs w:val="21"/>
        </w:rPr>
      </w:pPr>
      <w:r>
        <w:rPr>
          <w:rFonts w:hint="eastAsia" w:ascii="宋体" w:hAnsi="宋体"/>
          <w:b/>
          <w:bCs/>
          <w:kern w:val="0"/>
          <w:szCs w:val="21"/>
        </w:rPr>
        <w:t>第六条  包装要求</w:t>
      </w:r>
    </w:p>
    <w:p>
      <w:pPr>
        <w:widowControl/>
        <w:spacing w:line="360" w:lineRule="auto"/>
        <w:ind w:firstLine="480" w:firstLineChars="200"/>
        <w:jc w:val="left"/>
        <w:rPr>
          <w:rFonts w:ascii="宋体" w:hAnsi="宋体"/>
          <w:kern w:val="0"/>
          <w:szCs w:val="21"/>
        </w:rPr>
      </w:pPr>
      <w:r>
        <w:rPr>
          <w:rFonts w:hint="eastAsia" w:ascii="宋体" w:hAnsi="宋体"/>
          <w:kern w:val="0"/>
          <w:szCs w:val="21"/>
        </w:rPr>
        <w:t>1、除合同另有规定外，乙方提供的全部货物均应按标准保护措施进行包装。该包装应适应于远距离运输、防潮、防震、防锈和防野蛮装卸，以确保货物安全无损运抵指定地点。由于包装不善所引起的货物损失均由乙方承担。</w:t>
      </w:r>
    </w:p>
    <w:p>
      <w:pPr>
        <w:widowControl/>
        <w:spacing w:line="360" w:lineRule="auto"/>
        <w:ind w:firstLine="480" w:firstLineChars="200"/>
        <w:jc w:val="left"/>
        <w:rPr>
          <w:rFonts w:ascii="宋体" w:hAnsi="宋体"/>
          <w:kern w:val="0"/>
          <w:szCs w:val="21"/>
        </w:rPr>
      </w:pPr>
      <w:r>
        <w:rPr>
          <w:rFonts w:hint="eastAsia" w:ascii="宋体" w:hAnsi="宋体"/>
          <w:kern w:val="0"/>
          <w:szCs w:val="21"/>
        </w:rPr>
        <w:t>2、每一包装单元内应附详细的装箱单和质量合格凭证。</w:t>
      </w:r>
    </w:p>
    <w:p>
      <w:pPr>
        <w:widowControl/>
        <w:spacing w:line="360" w:lineRule="auto"/>
        <w:ind w:firstLine="482" w:firstLineChars="200"/>
        <w:jc w:val="left"/>
        <w:rPr>
          <w:rFonts w:ascii="宋体" w:hAnsi="宋体"/>
          <w:b/>
          <w:bCs/>
          <w:kern w:val="0"/>
          <w:szCs w:val="21"/>
        </w:rPr>
      </w:pPr>
      <w:r>
        <w:rPr>
          <w:rFonts w:hint="eastAsia" w:ascii="宋体" w:hAnsi="宋体"/>
          <w:b/>
          <w:bCs/>
          <w:kern w:val="0"/>
          <w:szCs w:val="21"/>
        </w:rPr>
        <w:t>第七条  交货和验收</w:t>
      </w:r>
    </w:p>
    <w:p>
      <w:pPr>
        <w:widowControl/>
        <w:spacing w:line="360" w:lineRule="auto"/>
        <w:ind w:firstLine="480" w:firstLineChars="200"/>
        <w:rPr>
          <w:rFonts w:ascii="宋体" w:hAnsi="宋体"/>
          <w:kern w:val="0"/>
          <w:szCs w:val="21"/>
        </w:rPr>
      </w:pPr>
      <w:r>
        <w:rPr>
          <w:rFonts w:hint="eastAsia" w:ascii="宋体" w:hAnsi="宋体"/>
          <w:kern w:val="0"/>
          <w:szCs w:val="21"/>
        </w:rPr>
        <w:t>1、交货（服务）地点：</w:t>
      </w:r>
    </w:p>
    <w:p>
      <w:pPr>
        <w:widowControl/>
        <w:spacing w:line="360" w:lineRule="auto"/>
        <w:ind w:firstLine="480" w:firstLineChars="200"/>
        <w:rPr>
          <w:rFonts w:ascii="宋体" w:hAnsi="宋体"/>
          <w:kern w:val="0"/>
          <w:szCs w:val="21"/>
          <w:u w:val="single"/>
        </w:rPr>
      </w:pPr>
      <w:r>
        <w:rPr>
          <w:rFonts w:hint="eastAsia" w:ascii="宋体" w:hAnsi="宋体"/>
          <w:kern w:val="0"/>
          <w:szCs w:val="21"/>
        </w:rPr>
        <w:t>2、合同履行期限：</w:t>
      </w:r>
      <w:r>
        <w:rPr>
          <w:rFonts w:hint="eastAsia" w:ascii="宋体" w:hAnsi="宋体"/>
          <w:kern w:val="0"/>
          <w:szCs w:val="21"/>
          <w:u w:val="single"/>
        </w:rPr>
        <w:t>　　</w:t>
      </w:r>
      <w:r>
        <w:rPr>
          <w:rFonts w:hint="eastAsia" w:ascii="宋体" w:hAnsi="宋体"/>
          <w:kern w:val="0"/>
          <w:szCs w:val="21"/>
        </w:rPr>
        <w:t>天，从</w:t>
      </w:r>
      <w:r>
        <w:rPr>
          <w:rFonts w:hint="eastAsia" w:ascii="宋体" w:hAnsi="宋体"/>
          <w:kern w:val="0"/>
          <w:szCs w:val="21"/>
          <w:u w:val="single"/>
        </w:rPr>
        <w:t>　     　</w:t>
      </w:r>
      <w:r>
        <w:rPr>
          <w:rFonts w:hint="eastAsia" w:ascii="宋体" w:hAnsi="宋体"/>
          <w:kern w:val="0"/>
          <w:szCs w:val="21"/>
        </w:rPr>
        <w:t>计算。</w:t>
      </w:r>
    </w:p>
    <w:p>
      <w:pPr>
        <w:widowControl/>
        <w:spacing w:line="360" w:lineRule="auto"/>
        <w:ind w:firstLine="480" w:firstLineChars="200"/>
        <w:jc w:val="left"/>
        <w:rPr>
          <w:rFonts w:ascii="宋体" w:hAnsi="宋体"/>
          <w:kern w:val="0"/>
          <w:szCs w:val="21"/>
        </w:rPr>
      </w:pPr>
      <w:r>
        <w:rPr>
          <w:rFonts w:hint="eastAsia" w:ascii="宋体" w:hAnsi="宋体"/>
          <w:kern w:val="0"/>
          <w:szCs w:val="21"/>
        </w:rPr>
        <w:t>3、乙方交付的货物（服务）应当完全符合本合同、招标文件及投标文件所规定的货物、数量和规格要求，不符要求的，甲方有权拒收货物，由此引起的风险，由乙方承担。</w:t>
      </w:r>
    </w:p>
    <w:p>
      <w:pPr>
        <w:widowControl/>
        <w:spacing w:line="360" w:lineRule="auto"/>
        <w:ind w:firstLine="480" w:firstLineChars="200"/>
        <w:jc w:val="left"/>
        <w:rPr>
          <w:rFonts w:ascii="宋体" w:hAnsi="宋体"/>
          <w:kern w:val="0"/>
          <w:szCs w:val="21"/>
        </w:rPr>
      </w:pPr>
      <w:r>
        <w:rPr>
          <w:rFonts w:hint="eastAsia" w:ascii="宋体" w:hAnsi="宋体"/>
          <w:kern w:val="0"/>
          <w:szCs w:val="21"/>
        </w:rPr>
        <w:t>4、货物的到货验收包括：型号、规格、数量、外观质量、及货物包装是否完好。</w:t>
      </w:r>
    </w:p>
    <w:p>
      <w:pPr>
        <w:widowControl/>
        <w:spacing w:line="360" w:lineRule="auto"/>
        <w:ind w:firstLine="480" w:firstLineChars="200"/>
        <w:jc w:val="left"/>
        <w:rPr>
          <w:rFonts w:ascii="宋体" w:hAnsi="宋体"/>
          <w:kern w:val="0"/>
          <w:szCs w:val="21"/>
        </w:rPr>
      </w:pPr>
      <w:r>
        <w:rPr>
          <w:rFonts w:hint="eastAsia" w:ascii="宋体" w:hAnsi="宋体"/>
          <w:kern w:val="0"/>
          <w:szCs w:val="21"/>
        </w:rPr>
        <w:t>5、乙方应将所提供货物的装箱清单、用户手册、原厂保修卡、摄像机、切换台、矩阵等主要设备的厂家销售证明、随机资料及配件、随机工具等交付给甲方；乙方不能完整交付货物及本款规定的单证和工具的，视为未按合同约定交货，乙方负责补齐，因此导致逾期交付的，由乙方承担相关的违约责任。</w:t>
      </w:r>
    </w:p>
    <w:p>
      <w:pPr>
        <w:widowControl/>
        <w:spacing w:line="360" w:lineRule="auto"/>
        <w:ind w:firstLine="480" w:firstLineChars="200"/>
        <w:jc w:val="left"/>
        <w:rPr>
          <w:rFonts w:ascii="宋体" w:hAnsi="宋体"/>
          <w:kern w:val="0"/>
          <w:szCs w:val="21"/>
        </w:rPr>
      </w:pPr>
      <w:r>
        <w:rPr>
          <w:rFonts w:hint="eastAsia" w:ascii="宋体" w:hAnsi="宋体"/>
          <w:kern w:val="0"/>
          <w:szCs w:val="21"/>
        </w:rPr>
        <w:t>6、甲方应当在到货后的</w:t>
      </w:r>
      <w:r>
        <w:rPr>
          <w:rFonts w:hint="eastAsia" w:ascii="宋体" w:hAnsi="宋体"/>
          <w:kern w:val="0"/>
          <w:szCs w:val="21"/>
          <w:u w:val="single"/>
        </w:rPr>
        <w:t>　　　　</w:t>
      </w:r>
      <w:r>
        <w:rPr>
          <w:rFonts w:hint="eastAsia" w:ascii="宋体" w:hAnsi="宋体"/>
          <w:kern w:val="0"/>
          <w:szCs w:val="21"/>
        </w:rPr>
        <w:t>日内对货物进行验收；需要乙方对货物或系统进行安装调试的，甲方应在货物安装调试完毕后的</w:t>
      </w:r>
      <w:r>
        <w:rPr>
          <w:rFonts w:hint="eastAsia" w:ascii="宋体" w:hAnsi="宋体"/>
          <w:kern w:val="0"/>
          <w:szCs w:val="21"/>
          <w:u w:val="single"/>
        </w:rPr>
        <w:t>　　　　</w:t>
      </w:r>
      <w:r>
        <w:rPr>
          <w:rFonts w:hint="eastAsia" w:ascii="宋体" w:hAnsi="宋体"/>
          <w:kern w:val="0"/>
          <w:szCs w:val="21"/>
        </w:rPr>
        <w:t>日内进行质量验收。验收合格的，由甲方签署验收单并加盖单位公章。招标文件对检验期限另有规定的，从其规定。</w:t>
      </w:r>
    </w:p>
    <w:p>
      <w:pPr>
        <w:widowControl/>
        <w:spacing w:line="360" w:lineRule="auto"/>
        <w:ind w:firstLine="480" w:firstLineChars="200"/>
        <w:jc w:val="left"/>
        <w:rPr>
          <w:rFonts w:ascii="宋体" w:hAnsi="宋体"/>
          <w:kern w:val="0"/>
          <w:szCs w:val="21"/>
        </w:rPr>
      </w:pPr>
      <w:r>
        <w:rPr>
          <w:rFonts w:hint="eastAsia" w:ascii="宋体" w:hAnsi="宋体"/>
          <w:kern w:val="0"/>
          <w:szCs w:val="21"/>
        </w:rPr>
        <w:t>7、货物和系统调试验收的标准：按行业通行标准、厂方出厂标准和乙方投标文件的承诺（详细标准可在合同附件载明，且不得低于国家相关标准）。</w:t>
      </w:r>
    </w:p>
    <w:p>
      <w:pPr>
        <w:widowControl/>
        <w:spacing w:line="360" w:lineRule="auto"/>
        <w:ind w:firstLine="482" w:firstLineChars="200"/>
        <w:jc w:val="left"/>
        <w:rPr>
          <w:rFonts w:ascii="宋体" w:hAnsi="宋体"/>
          <w:b/>
          <w:bCs/>
          <w:kern w:val="0"/>
          <w:szCs w:val="21"/>
        </w:rPr>
      </w:pPr>
      <w:r>
        <w:rPr>
          <w:rFonts w:hint="eastAsia" w:ascii="宋体" w:hAnsi="宋体"/>
          <w:b/>
          <w:bCs/>
          <w:kern w:val="0"/>
          <w:szCs w:val="21"/>
        </w:rPr>
        <w:t>第八条  伴随服务及售后服务</w:t>
      </w:r>
    </w:p>
    <w:p>
      <w:pPr>
        <w:widowControl/>
        <w:spacing w:line="360" w:lineRule="auto"/>
        <w:ind w:firstLine="480" w:firstLineChars="200"/>
        <w:jc w:val="left"/>
        <w:rPr>
          <w:rFonts w:ascii="宋体" w:hAnsi="宋体"/>
          <w:kern w:val="0"/>
          <w:szCs w:val="21"/>
        </w:rPr>
      </w:pPr>
      <w:r>
        <w:rPr>
          <w:rFonts w:hint="eastAsia" w:ascii="宋体" w:hAnsi="宋体"/>
          <w:kern w:val="0"/>
          <w:szCs w:val="21"/>
        </w:rPr>
        <w:t>1、乙方应按照国家有关法律法规规定和“三包”规定以及乙方对本项目的“服务承诺”提供服务。</w:t>
      </w:r>
    </w:p>
    <w:p>
      <w:pPr>
        <w:widowControl/>
        <w:spacing w:line="360" w:lineRule="auto"/>
        <w:ind w:firstLine="480" w:firstLineChars="200"/>
        <w:jc w:val="left"/>
        <w:rPr>
          <w:rFonts w:ascii="宋体" w:hAnsi="宋体"/>
          <w:kern w:val="0"/>
          <w:szCs w:val="21"/>
        </w:rPr>
      </w:pPr>
      <w:r>
        <w:rPr>
          <w:rFonts w:hint="eastAsia" w:ascii="宋体" w:hAnsi="宋体"/>
          <w:kern w:val="0"/>
          <w:szCs w:val="21"/>
        </w:rPr>
        <w:t>2、除前款规定外，乙方还应提供下列服务：</w:t>
      </w:r>
    </w:p>
    <w:p>
      <w:pPr>
        <w:widowControl/>
        <w:spacing w:line="360" w:lineRule="auto"/>
        <w:ind w:firstLine="480" w:firstLineChars="200"/>
        <w:jc w:val="left"/>
        <w:rPr>
          <w:rFonts w:ascii="宋体" w:hAnsi="宋体"/>
          <w:kern w:val="0"/>
          <w:szCs w:val="21"/>
        </w:rPr>
      </w:pPr>
      <w:r>
        <w:rPr>
          <w:rFonts w:hint="eastAsia" w:ascii="宋体" w:hAnsi="宋体"/>
          <w:kern w:val="0"/>
          <w:szCs w:val="21"/>
        </w:rPr>
        <w:t>（1）货物的现场安装、调试及启动监督；</w:t>
      </w:r>
    </w:p>
    <w:p>
      <w:pPr>
        <w:widowControl/>
        <w:spacing w:line="360" w:lineRule="auto"/>
        <w:ind w:firstLine="480" w:firstLineChars="200"/>
        <w:jc w:val="left"/>
        <w:rPr>
          <w:rFonts w:ascii="宋体" w:hAnsi="宋体"/>
          <w:kern w:val="0"/>
          <w:szCs w:val="21"/>
        </w:rPr>
      </w:pPr>
      <w:r>
        <w:rPr>
          <w:rFonts w:hint="eastAsia" w:ascii="宋体" w:hAnsi="宋体"/>
          <w:kern w:val="0"/>
          <w:szCs w:val="21"/>
        </w:rPr>
        <w:t>（2）就货物的安装、启动、运行及维护等对甲方人员进行免费培训。</w:t>
      </w:r>
    </w:p>
    <w:p>
      <w:pPr>
        <w:widowControl/>
        <w:spacing w:line="360" w:lineRule="auto"/>
        <w:ind w:firstLine="480" w:firstLineChars="200"/>
        <w:jc w:val="left"/>
        <w:rPr>
          <w:rFonts w:ascii="宋体" w:hAnsi="宋体"/>
          <w:kern w:val="0"/>
          <w:szCs w:val="21"/>
        </w:rPr>
      </w:pPr>
      <w:r>
        <w:rPr>
          <w:rFonts w:hint="eastAsia" w:ascii="宋体" w:hAnsi="宋体"/>
          <w:kern w:val="0"/>
          <w:szCs w:val="21"/>
        </w:rPr>
        <w:t>3、若招标文件中不包含有关伴随服务或售后服务的承诺，双方作如下约定：</w:t>
      </w:r>
    </w:p>
    <w:p>
      <w:pPr>
        <w:widowControl/>
        <w:spacing w:line="360" w:lineRule="auto"/>
        <w:ind w:firstLine="480" w:firstLineChars="200"/>
        <w:jc w:val="left"/>
        <w:rPr>
          <w:rFonts w:ascii="宋体" w:hAnsi="宋体"/>
          <w:kern w:val="0"/>
          <w:szCs w:val="21"/>
        </w:rPr>
      </w:pPr>
      <w:r>
        <w:rPr>
          <w:rFonts w:hint="eastAsia" w:ascii="宋体" w:hAnsi="宋体"/>
          <w:kern w:val="0"/>
          <w:szCs w:val="21"/>
        </w:rPr>
        <w:t>3.1、 乙方应为甲方提供免费培训服务，并指派专人负责与甲方联系售后服务事宜。主要培训内容为货物的基本结构、性能、主要部件的构造及处理，日常使用操作、保养与管理、常见故障的排除、紧急情况的处理等，如甲方未使用过同类型货物，乙方还需就货物的功能对甲方人员进行相应的技术培训，培训地点主要在货物安装现场或由甲方安排。</w:t>
      </w:r>
    </w:p>
    <w:p>
      <w:pPr>
        <w:widowControl/>
        <w:spacing w:line="360" w:lineRule="auto"/>
        <w:ind w:firstLine="480" w:firstLineChars="200"/>
        <w:jc w:val="left"/>
        <w:rPr>
          <w:rFonts w:ascii="宋体" w:hAnsi="宋体"/>
          <w:kern w:val="0"/>
          <w:szCs w:val="21"/>
        </w:rPr>
      </w:pPr>
      <w:r>
        <w:rPr>
          <w:rFonts w:hint="eastAsia" w:ascii="宋体" w:hAnsi="宋体"/>
          <w:kern w:val="0"/>
          <w:szCs w:val="21"/>
        </w:rPr>
        <w:t>3.2、 货物中若包含“机控”产品则由乙方提供至少年的整机保修和系统维护；若为其他货物则按生产厂家的标准执行，但不得少于年（请分别列出：）；保修期自甲方在货物质量验收单上签字之日起计算，保修费用包含在合同总价中。</w:t>
      </w:r>
    </w:p>
    <w:p>
      <w:pPr>
        <w:widowControl/>
        <w:spacing w:line="360" w:lineRule="auto"/>
        <w:ind w:firstLine="480" w:firstLineChars="200"/>
        <w:jc w:val="left"/>
        <w:rPr>
          <w:rFonts w:ascii="宋体" w:hAnsi="宋体"/>
          <w:kern w:val="0"/>
          <w:szCs w:val="21"/>
        </w:rPr>
      </w:pPr>
      <w:r>
        <w:rPr>
          <w:rFonts w:hint="eastAsia" w:ascii="宋体" w:hAnsi="宋体"/>
          <w:kern w:val="0"/>
          <w:szCs w:val="21"/>
        </w:rPr>
        <w:t>3.3、 免费保修期：</w:t>
      </w:r>
      <w:r>
        <w:rPr>
          <w:rFonts w:hint="eastAsia" w:ascii="宋体" w:hAnsi="宋体"/>
          <w:kern w:val="0"/>
          <w:szCs w:val="21"/>
          <w:u w:val="single"/>
        </w:rPr>
        <w:t>　　　　　　　　　</w:t>
      </w:r>
      <w:r>
        <w:rPr>
          <w:rFonts w:hint="eastAsia" w:ascii="宋体" w:hAnsi="宋体"/>
          <w:kern w:val="0"/>
          <w:szCs w:val="21"/>
        </w:rPr>
        <w:t>，保修期内，乙方负责对其提供的货物整机进行维修和系统维护，不再收取任何费用。</w:t>
      </w:r>
    </w:p>
    <w:p>
      <w:pPr>
        <w:widowControl/>
        <w:spacing w:line="360" w:lineRule="auto"/>
        <w:ind w:firstLine="480" w:firstLineChars="200"/>
        <w:jc w:val="left"/>
        <w:rPr>
          <w:rFonts w:ascii="宋体" w:hAnsi="宋体"/>
          <w:kern w:val="0"/>
          <w:szCs w:val="21"/>
        </w:rPr>
      </w:pPr>
      <w:r>
        <w:rPr>
          <w:rFonts w:hint="eastAsia" w:ascii="宋体" w:hAnsi="宋体"/>
          <w:kern w:val="0"/>
          <w:szCs w:val="21"/>
        </w:rPr>
        <w:t>3.4、 货物故障报修的响应时间为：</w:t>
      </w:r>
      <w:r>
        <w:rPr>
          <w:rFonts w:hint="eastAsia" w:ascii="宋体" w:hAnsi="宋体"/>
          <w:kern w:val="0"/>
          <w:szCs w:val="21"/>
          <w:u w:val="single"/>
        </w:rPr>
        <w:t>　　　　　</w:t>
      </w:r>
      <w:r>
        <w:rPr>
          <w:rFonts w:hint="eastAsia" w:ascii="宋体" w:hAnsi="宋体"/>
          <w:kern w:val="0"/>
          <w:szCs w:val="21"/>
        </w:rPr>
        <w:t>小时。</w:t>
      </w:r>
    </w:p>
    <w:p>
      <w:pPr>
        <w:widowControl/>
        <w:spacing w:line="360" w:lineRule="auto"/>
        <w:ind w:firstLine="480" w:firstLineChars="200"/>
        <w:jc w:val="left"/>
        <w:rPr>
          <w:rFonts w:ascii="宋体" w:hAnsi="宋体"/>
          <w:kern w:val="0"/>
          <w:szCs w:val="21"/>
        </w:rPr>
      </w:pPr>
      <w:r>
        <w:rPr>
          <w:rFonts w:hint="eastAsia" w:ascii="宋体" w:hAnsi="宋体"/>
          <w:kern w:val="0"/>
          <w:szCs w:val="21"/>
        </w:rPr>
        <w:t>3.5、若货物故障在检修小时后仍无法排除，乙方应在48小时内免费提供不低于故障货物规格型号档次的备用货物供甲方使用，直至故障货物修复。</w:t>
      </w:r>
    </w:p>
    <w:p>
      <w:pPr>
        <w:widowControl/>
        <w:spacing w:line="360" w:lineRule="auto"/>
        <w:ind w:firstLine="480" w:firstLineChars="200"/>
        <w:jc w:val="left"/>
        <w:rPr>
          <w:rFonts w:ascii="宋体" w:hAnsi="宋体"/>
          <w:kern w:val="0"/>
          <w:szCs w:val="21"/>
        </w:rPr>
      </w:pPr>
      <w:r>
        <w:rPr>
          <w:rFonts w:hint="eastAsia" w:ascii="宋体" w:hAnsi="宋体"/>
          <w:kern w:val="0"/>
          <w:szCs w:val="21"/>
        </w:rPr>
        <w:t>3.6、 所有货物保修服务方式均为乙方上门保修，即由乙方派人到货物使用现场维修，由此产生的一切费用均由乙方承担。</w:t>
      </w:r>
    </w:p>
    <w:p>
      <w:pPr>
        <w:widowControl/>
        <w:spacing w:line="360" w:lineRule="auto"/>
        <w:ind w:firstLine="480" w:firstLineChars="200"/>
        <w:jc w:val="left"/>
        <w:rPr>
          <w:rFonts w:ascii="宋体" w:hAnsi="宋体"/>
          <w:kern w:val="0"/>
          <w:szCs w:val="21"/>
        </w:rPr>
      </w:pPr>
      <w:r>
        <w:rPr>
          <w:rFonts w:hint="eastAsia" w:ascii="宋体" w:hAnsi="宋体"/>
          <w:kern w:val="0"/>
          <w:szCs w:val="21"/>
        </w:rPr>
        <w:t>3.7、 保修期以后的维修维护由双方协商再定。</w:t>
      </w:r>
    </w:p>
    <w:p>
      <w:pPr>
        <w:widowControl/>
        <w:spacing w:line="360" w:lineRule="auto"/>
        <w:ind w:firstLine="482" w:firstLineChars="200"/>
        <w:jc w:val="left"/>
        <w:rPr>
          <w:rFonts w:ascii="宋体" w:hAnsi="宋体"/>
          <w:b/>
          <w:bCs/>
          <w:kern w:val="0"/>
          <w:szCs w:val="21"/>
        </w:rPr>
      </w:pPr>
      <w:r>
        <w:rPr>
          <w:rFonts w:hint="eastAsia" w:ascii="宋体" w:hAnsi="宋体"/>
          <w:b/>
          <w:bCs/>
          <w:kern w:val="0"/>
          <w:szCs w:val="21"/>
        </w:rPr>
        <w:t>第九条   履约保证金</w:t>
      </w:r>
    </w:p>
    <w:p>
      <w:pPr>
        <w:widowControl/>
        <w:spacing w:line="360" w:lineRule="auto"/>
        <w:ind w:firstLine="480" w:firstLineChars="200"/>
        <w:jc w:val="left"/>
        <w:rPr>
          <w:rFonts w:ascii="宋体" w:hAnsi="宋体"/>
          <w:kern w:val="0"/>
          <w:szCs w:val="21"/>
        </w:rPr>
      </w:pPr>
      <w:r>
        <w:rPr>
          <w:rFonts w:hint="eastAsia" w:ascii="宋体" w:hAnsi="宋体"/>
          <w:kern w:val="0"/>
          <w:szCs w:val="21"/>
        </w:rPr>
        <w:t>本合同签订生效以前乙方应按合同额5%的金额向甲方或甲方指定的机构提交履约保证金。如乙方未能履行合同规定的义务，甲方有权扣除其履约保证金。</w:t>
      </w:r>
    </w:p>
    <w:p>
      <w:pPr>
        <w:widowControl/>
        <w:spacing w:line="360" w:lineRule="auto"/>
        <w:ind w:firstLine="482" w:firstLineChars="200"/>
        <w:jc w:val="left"/>
        <w:rPr>
          <w:rFonts w:ascii="宋体" w:hAnsi="宋体"/>
          <w:b/>
          <w:bCs/>
          <w:kern w:val="0"/>
          <w:szCs w:val="21"/>
        </w:rPr>
      </w:pPr>
      <w:r>
        <w:rPr>
          <w:rFonts w:hint="eastAsia" w:ascii="宋体" w:hAnsi="宋体"/>
          <w:b/>
          <w:bCs/>
          <w:kern w:val="0"/>
          <w:szCs w:val="21"/>
        </w:rPr>
        <w:t>第十条   货款支付</w:t>
      </w:r>
    </w:p>
    <w:p>
      <w:pPr>
        <w:widowControl/>
        <w:spacing w:line="360" w:lineRule="auto"/>
        <w:ind w:left="240" w:leftChars="100" w:firstLine="240" w:firstLineChars="100"/>
        <w:jc w:val="left"/>
        <w:rPr>
          <w:rFonts w:ascii="宋体" w:hAnsi="宋体"/>
          <w:kern w:val="0"/>
          <w:szCs w:val="21"/>
        </w:rPr>
      </w:pPr>
      <w:r>
        <w:rPr>
          <w:rFonts w:hint="eastAsia" w:ascii="宋体" w:hAnsi="宋体"/>
          <w:kern w:val="0"/>
          <w:szCs w:val="21"/>
        </w:rPr>
        <w:t>1、付款方式（方式）：</w:t>
      </w:r>
      <w:r>
        <w:rPr>
          <w:rFonts w:hint="eastAsia" w:ascii="宋体" w:hAnsi="宋体"/>
          <w:b/>
          <w:bCs/>
          <w:szCs w:val="21"/>
        </w:rPr>
        <w:t>。</w:t>
      </w:r>
      <w:r>
        <w:rPr>
          <w:rFonts w:hint="eastAsia" w:ascii="宋体" w:hAnsi="宋体"/>
          <w:kern w:val="0"/>
          <w:szCs w:val="21"/>
        </w:rPr>
        <w:t>本合同项下所有款项均以人民币支付。</w:t>
      </w:r>
    </w:p>
    <w:p>
      <w:pPr>
        <w:widowControl/>
        <w:spacing w:line="360" w:lineRule="auto"/>
        <w:ind w:firstLine="480" w:firstLineChars="200"/>
        <w:jc w:val="left"/>
        <w:rPr>
          <w:rFonts w:ascii="宋体" w:hAnsi="宋体"/>
          <w:kern w:val="0"/>
          <w:szCs w:val="21"/>
        </w:rPr>
      </w:pPr>
      <w:r>
        <w:rPr>
          <w:rFonts w:hint="eastAsia" w:ascii="宋体" w:hAnsi="宋体"/>
          <w:kern w:val="0"/>
          <w:szCs w:val="21"/>
        </w:rPr>
        <w:t>2、合同项下的采购资金系财政拨款，则出具经甲方盖章确认的发票复印件、经甲方签署的验收单、合同副本等材料，按付款方式约定申请拨付款项。</w:t>
      </w:r>
    </w:p>
    <w:p>
      <w:pPr>
        <w:widowControl/>
        <w:spacing w:line="360" w:lineRule="auto"/>
        <w:ind w:firstLine="482" w:firstLineChars="200"/>
        <w:jc w:val="left"/>
        <w:rPr>
          <w:rFonts w:ascii="宋体" w:hAnsi="宋体"/>
          <w:b/>
          <w:bCs/>
          <w:kern w:val="0"/>
          <w:szCs w:val="21"/>
        </w:rPr>
      </w:pPr>
      <w:r>
        <w:rPr>
          <w:rFonts w:hint="eastAsia" w:ascii="宋体" w:hAnsi="宋体"/>
          <w:b/>
          <w:bCs/>
          <w:kern w:val="0"/>
          <w:szCs w:val="21"/>
        </w:rPr>
        <w:t>第十一条 违约责任</w:t>
      </w:r>
    </w:p>
    <w:p>
      <w:pPr>
        <w:widowControl/>
        <w:spacing w:line="360" w:lineRule="auto"/>
        <w:ind w:firstLine="480" w:firstLineChars="200"/>
        <w:jc w:val="left"/>
        <w:rPr>
          <w:rFonts w:ascii="宋体" w:hAnsi="宋体"/>
          <w:kern w:val="0"/>
          <w:szCs w:val="21"/>
        </w:rPr>
      </w:pPr>
      <w:r>
        <w:rPr>
          <w:rFonts w:hint="eastAsia" w:ascii="宋体" w:hAnsi="宋体"/>
          <w:kern w:val="0"/>
          <w:szCs w:val="21"/>
        </w:rPr>
        <w:t>1、甲方无正当理由拒绝接收货物（服务）、拒付货物（服务）款的，由甲方向乙方偿付合同总价的5%违约金。</w:t>
      </w:r>
    </w:p>
    <w:p>
      <w:pPr>
        <w:widowControl/>
        <w:spacing w:line="360" w:lineRule="auto"/>
        <w:ind w:firstLine="480" w:firstLineChars="200"/>
        <w:jc w:val="left"/>
        <w:rPr>
          <w:rFonts w:ascii="宋体" w:hAnsi="宋体"/>
          <w:kern w:val="0"/>
          <w:szCs w:val="21"/>
        </w:rPr>
      </w:pPr>
      <w:r>
        <w:rPr>
          <w:rFonts w:hint="eastAsia" w:ascii="宋体" w:hAnsi="宋体"/>
          <w:kern w:val="0"/>
          <w:szCs w:val="21"/>
        </w:rPr>
        <w:t>2、如乙方不能按约定交付货物（服务），或交付的货物（服务）质量、品种、型号、规格等不符合合同规定或有关标准，甲方有权拒收，并扣除其履约保证金；同时乙方应向甲方支付合同总价５％的违约金。</w:t>
      </w:r>
    </w:p>
    <w:p>
      <w:pPr>
        <w:widowControl/>
        <w:spacing w:line="360" w:lineRule="auto"/>
        <w:ind w:firstLine="480" w:firstLineChars="200"/>
        <w:jc w:val="left"/>
        <w:rPr>
          <w:rFonts w:ascii="宋体" w:hAnsi="宋体"/>
          <w:kern w:val="0"/>
          <w:szCs w:val="21"/>
        </w:rPr>
      </w:pPr>
      <w:r>
        <w:rPr>
          <w:rFonts w:hint="eastAsia" w:ascii="宋体" w:hAnsi="宋体"/>
          <w:kern w:val="0"/>
          <w:szCs w:val="21"/>
        </w:rPr>
        <w:t>3、 乙方逾期交付货物的，每逾期1天，乙方向甲方偿付</w:t>
      </w:r>
      <w:r>
        <w:rPr>
          <w:rFonts w:hint="eastAsia" w:ascii="宋体" w:hAnsi="宋体"/>
          <w:kern w:val="0"/>
          <w:szCs w:val="21"/>
          <w:u w:val="single"/>
        </w:rPr>
        <w:t>　　　　</w:t>
      </w:r>
      <w:r>
        <w:rPr>
          <w:rFonts w:hint="eastAsia" w:ascii="宋体" w:hAnsi="宋体"/>
          <w:kern w:val="0"/>
          <w:szCs w:val="21"/>
        </w:rPr>
        <w:t>滞纳金。如乙方逾期交货达</w:t>
      </w:r>
      <w:r>
        <w:rPr>
          <w:rFonts w:hint="eastAsia" w:ascii="宋体" w:hAnsi="宋体"/>
          <w:kern w:val="0"/>
          <w:szCs w:val="21"/>
          <w:u w:val="single"/>
        </w:rPr>
        <w:t>　　　　</w:t>
      </w:r>
      <w:r>
        <w:rPr>
          <w:rFonts w:hint="eastAsia" w:ascii="宋体" w:hAnsi="宋体"/>
          <w:kern w:val="0"/>
          <w:szCs w:val="21"/>
        </w:rPr>
        <w:t>天，甲方有权解除合同，解除合同的通知自到达乙方时生效。</w:t>
      </w:r>
    </w:p>
    <w:p>
      <w:pPr>
        <w:widowControl/>
        <w:spacing w:line="360" w:lineRule="auto"/>
        <w:ind w:firstLine="480" w:firstLineChars="200"/>
        <w:jc w:val="left"/>
        <w:rPr>
          <w:rFonts w:ascii="宋体" w:hAnsi="宋体"/>
          <w:kern w:val="0"/>
          <w:szCs w:val="21"/>
        </w:rPr>
      </w:pPr>
      <w:r>
        <w:rPr>
          <w:rFonts w:hint="eastAsia" w:ascii="宋体" w:hAnsi="宋体"/>
          <w:kern w:val="0"/>
          <w:szCs w:val="21"/>
        </w:rPr>
        <w:t>4、在乙方承诺的或国家规定的质量保证期内（取两者中最长的期限），如经乙方两次维修或更换，货物仍不能达到合同约定的质量标准，甲方有权退货，乙方应退回全部货款，并扣除乙方质量保证金，同时，乙方还须赔偿甲方因此遭受的损失。</w:t>
      </w:r>
    </w:p>
    <w:p>
      <w:pPr>
        <w:widowControl/>
        <w:spacing w:line="360" w:lineRule="auto"/>
        <w:ind w:firstLine="480" w:firstLineChars="200"/>
        <w:jc w:val="left"/>
        <w:rPr>
          <w:rFonts w:ascii="宋体" w:hAnsi="宋体"/>
          <w:kern w:val="0"/>
          <w:szCs w:val="21"/>
        </w:rPr>
      </w:pPr>
      <w:r>
        <w:rPr>
          <w:rFonts w:hint="eastAsia" w:ascii="宋体" w:hAnsi="宋体"/>
          <w:kern w:val="0"/>
          <w:szCs w:val="21"/>
        </w:rPr>
        <w:t>6、乙方违反本合同有关约定或未按“服务承诺”提供伴随服务/售后服务的，每次扣除乙方违约金</w:t>
      </w:r>
      <w:r>
        <w:rPr>
          <w:rFonts w:hint="eastAsia" w:ascii="宋体" w:hAnsi="宋体"/>
          <w:kern w:val="0"/>
          <w:szCs w:val="21"/>
          <w:u w:val="single"/>
        </w:rPr>
        <w:t>　　　　　</w:t>
      </w:r>
      <w:r>
        <w:rPr>
          <w:rFonts w:hint="eastAsia" w:ascii="宋体" w:hAnsi="宋体"/>
          <w:kern w:val="0"/>
          <w:szCs w:val="21"/>
        </w:rPr>
        <w:t>元（合同另有约定的从其约定）。</w:t>
      </w:r>
    </w:p>
    <w:p>
      <w:pPr>
        <w:widowControl/>
        <w:spacing w:line="360" w:lineRule="auto"/>
        <w:ind w:firstLine="480" w:firstLineChars="200"/>
        <w:jc w:val="left"/>
        <w:rPr>
          <w:rFonts w:ascii="宋体" w:hAnsi="宋体"/>
          <w:kern w:val="0"/>
          <w:szCs w:val="21"/>
        </w:rPr>
      </w:pPr>
      <w:r>
        <w:rPr>
          <w:rFonts w:hint="eastAsia" w:ascii="宋体" w:hAnsi="宋体"/>
          <w:kern w:val="0"/>
          <w:szCs w:val="21"/>
        </w:rPr>
        <w:t>7、乙方在承担上述一项或多项违约责任后，仍应继续履行合同规定的义务（甲方解除合同的除外）。甲方未及时追究乙方的任何一项违约责任并不表明甲方放弃追究乙方该项或其他违约责任。</w:t>
      </w:r>
    </w:p>
    <w:p>
      <w:pPr>
        <w:widowControl/>
        <w:spacing w:line="360" w:lineRule="auto"/>
        <w:ind w:firstLine="482" w:firstLineChars="200"/>
        <w:jc w:val="left"/>
        <w:rPr>
          <w:rFonts w:ascii="宋体" w:hAnsi="宋体"/>
          <w:b/>
          <w:bCs/>
          <w:kern w:val="0"/>
          <w:szCs w:val="21"/>
        </w:rPr>
      </w:pPr>
      <w:r>
        <w:rPr>
          <w:rFonts w:hint="eastAsia" w:ascii="宋体" w:hAnsi="宋体"/>
          <w:b/>
          <w:bCs/>
          <w:kern w:val="0"/>
          <w:szCs w:val="21"/>
        </w:rPr>
        <w:t>第十二条 合同的变更补充，终止及转让　　</w:t>
      </w:r>
      <w:r>
        <w:rPr>
          <w:rFonts w:hint="eastAsia" w:ascii="宋体" w:hAnsi="宋体"/>
          <w:kern w:val="0"/>
          <w:szCs w:val="21"/>
        </w:rPr>
        <w:t>除《政府采购法》第49条、第50条第二款规定的情形外，本合同一经签订，甲乙双方不得擅自变更、中止或终止合同。合同的变更和补充追加需经政府采购监督管理办公室审核备案后生效。乙方不得擅自部分或全部转让其应履行的合同义务。</w:t>
      </w:r>
    </w:p>
    <w:p>
      <w:pPr>
        <w:widowControl/>
        <w:spacing w:line="360" w:lineRule="auto"/>
        <w:ind w:firstLine="482" w:firstLineChars="200"/>
        <w:jc w:val="left"/>
        <w:rPr>
          <w:rFonts w:ascii="宋体" w:hAnsi="宋体"/>
          <w:b/>
          <w:bCs/>
          <w:kern w:val="0"/>
          <w:szCs w:val="21"/>
        </w:rPr>
      </w:pPr>
      <w:r>
        <w:rPr>
          <w:rFonts w:hint="eastAsia" w:ascii="宋体" w:hAnsi="宋体"/>
          <w:b/>
          <w:bCs/>
          <w:kern w:val="0"/>
          <w:szCs w:val="21"/>
        </w:rPr>
        <w:t>第十三条 　不可抗力　　</w:t>
      </w:r>
    </w:p>
    <w:p>
      <w:pPr>
        <w:widowControl/>
        <w:spacing w:line="360" w:lineRule="auto"/>
        <w:ind w:firstLine="482" w:firstLineChars="200"/>
        <w:jc w:val="left"/>
        <w:rPr>
          <w:rFonts w:ascii="宋体" w:hAnsi="宋体"/>
          <w:b/>
          <w:bCs/>
          <w:kern w:val="0"/>
          <w:szCs w:val="21"/>
        </w:rPr>
      </w:pPr>
      <w:r>
        <w:rPr>
          <w:rFonts w:hint="eastAsia" w:ascii="宋体" w:hAnsi="宋体"/>
          <w:b/>
          <w:bCs/>
          <w:kern w:val="0"/>
          <w:szCs w:val="21"/>
        </w:rPr>
        <w:t>1、</w:t>
      </w:r>
      <w:r>
        <w:rPr>
          <w:rFonts w:hint="eastAsia" w:ascii="宋体" w:hAnsi="宋体"/>
          <w:kern w:val="0"/>
          <w:szCs w:val="21"/>
        </w:rPr>
        <w:t>因不可抗力造成违约的，遭受不可抗力一方应及时向对方通报不能履行或不能完全履行的理由，并在随后取得有关主管机关证明后的15日内向另一方提供不可抗力发生以及持续期间的充分证据，根据情况可部分或全部免于承担违约责任。</w:t>
      </w:r>
    </w:p>
    <w:p>
      <w:pPr>
        <w:widowControl/>
        <w:spacing w:line="360" w:lineRule="auto"/>
        <w:ind w:firstLine="480" w:firstLineChars="200"/>
        <w:rPr>
          <w:rFonts w:ascii="宋体" w:hAnsi="宋体"/>
          <w:kern w:val="0"/>
          <w:szCs w:val="21"/>
        </w:rPr>
      </w:pPr>
      <w:r>
        <w:rPr>
          <w:rFonts w:hint="eastAsia" w:ascii="宋体" w:hAnsi="宋体"/>
          <w:kern w:val="0"/>
          <w:szCs w:val="21"/>
        </w:rPr>
        <w:t>2、本合同中的不可抗力指不能预见、不能避免并不能克服的客观情况。包括但不限于：自然灾害如地震、台风、洪水、火灾；政府行为、法律规定或其适用的其他任何无法预见、避免或者控制的事件（市场价格波动风险不在此列）。</w:t>
      </w:r>
    </w:p>
    <w:p>
      <w:pPr>
        <w:widowControl/>
        <w:spacing w:line="360" w:lineRule="auto"/>
        <w:ind w:firstLine="482" w:firstLineChars="200"/>
        <w:jc w:val="left"/>
        <w:rPr>
          <w:rFonts w:ascii="宋体" w:hAnsi="宋体"/>
          <w:b/>
          <w:bCs/>
          <w:kern w:val="0"/>
          <w:szCs w:val="21"/>
        </w:rPr>
      </w:pPr>
      <w:r>
        <w:rPr>
          <w:rFonts w:hint="eastAsia" w:ascii="宋体" w:hAnsi="宋体"/>
          <w:b/>
          <w:bCs/>
          <w:kern w:val="0"/>
          <w:szCs w:val="21"/>
        </w:rPr>
        <w:t>第十四条  争议的解决</w:t>
      </w:r>
    </w:p>
    <w:p>
      <w:pPr>
        <w:widowControl/>
        <w:spacing w:line="360" w:lineRule="auto"/>
        <w:ind w:firstLine="480" w:firstLineChars="200"/>
        <w:jc w:val="left"/>
        <w:rPr>
          <w:rFonts w:ascii="宋体" w:hAnsi="宋体"/>
          <w:kern w:val="0"/>
          <w:szCs w:val="21"/>
        </w:rPr>
      </w:pPr>
      <w:r>
        <w:rPr>
          <w:rFonts w:hint="eastAsia" w:ascii="宋体" w:hAnsi="宋体"/>
          <w:kern w:val="0"/>
          <w:szCs w:val="21"/>
        </w:rPr>
        <w:t>1、因质量问题发生争议的，应当邀请国家认可的质量检测机构进行鉴定。经鉴定符合标准的，鉴定费由甲方承担；不符合质量标准的，鉴定费由乙方承担。</w:t>
      </w:r>
    </w:p>
    <w:p>
      <w:pPr>
        <w:widowControl/>
        <w:spacing w:line="360" w:lineRule="auto"/>
        <w:ind w:firstLine="480" w:firstLineChars="200"/>
        <w:jc w:val="left"/>
        <w:rPr>
          <w:rFonts w:ascii="宋体" w:hAnsi="宋体"/>
          <w:kern w:val="0"/>
          <w:szCs w:val="21"/>
        </w:rPr>
      </w:pPr>
      <w:r>
        <w:rPr>
          <w:rFonts w:hint="eastAsia" w:ascii="宋体" w:hAnsi="宋体"/>
          <w:kern w:val="0"/>
          <w:szCs w:val="21"/>
        </w:rPr>
        <w:t>2、因履行本合同引起的或与本合同有关的争议，甲、乙双方应首先通过友好协商解决，如果协商不能解决争议，任何一方均可以向甲方所在地有管辖权的人民法院提起诉讼。</w:t>
      </w:r>
    </w:p>
    <w:p>
      <w:pPr>
        <w:widowControl/>
        <w:spacing w:line="360" w:lineRule="auto"/>
        <w:ind w:firstLine="482" w:firstLineChars="200"/>
        <w:jc w:val="left"/>
        <w:rPr>
          <w:rFonts w:ascii="宋体" w:hAnsi="宋体"/>
          <w:b/>
          <w:bCs/>
          <w:kern w:val="0"/>
          <w:szCs w:val="21"/>
        </w:rPr>
      </w:pPr>
      <w:r>
        <w:rPr>
          <w:rFonts w:hint="eastAsia" w:ascii="宋体" w:hAnsi="宋体"/>
          <w:b/>
          <w:bCs/>
          <w:kern w:val="0"/>
          <w:szCs w:val="21"/>
        </w:rPr>
        <w:t>第十五条   合同生效及其他</w:t>
      </w:r>
    </w:p>
    <w:p>
      <w:pPr>
        <w:widowControl/>
        <w:spacing w:line="360" w:lineRule="auto"/>
        <w:ind w:firstLine="480" w:firstLineChars="200"/>
        <w:rPr>
          <w:rFonts w:ascii="宋体" w:hAnsi="宋体"/>
          <w:b/>
          <w:bCs/>
          <w:kern w:val="0"/>
          <w:szCs w:val="21"/>
        </w:rPr>
      </w:pPr>
      <w:r>
        <w:rPr>
          <w:rFonts w:hint="eastAsia" w:ascii="宋体" w:hAnsi="宋体"/>
          <w:kern w:val="0"/>
          <w:szCs w:val="21"/>
        </w:rPr>
        <w:t>1、本合同未尽事宜，双方另行补充。</w:t>
      </w:r>
    </w:p>
    <w:p>
      <w:pPr>
        <w:widowControl/>
        <w:spacing w:line="360" w:lineRule="auto"/>
        <w:ind w:firstLine="480" w:firstLineChars="200"/>
        <w:rPr>
          <w:rFonts w:ascii="宋体" w:hAnsi="宋体"/>
          <w:kern w:val="0"/>
          <w:szCs w:val="21"/>
        </w:rPr>
      </w:pPr>
      <w:r>
        <w:rPr>
          <w:rFonts w:hint="eastAsia" w:ascii="宋体" w:hAnsi="宋体"/>
          <w:kern w:val="0"/>
          <w:szCs w:val="21"/>
        </w:rPr>
        <w:t>2、</w:t>
      </w:r>
      <w:r>
        <w:rPr>
          <w:rFonts w:hint="eastAsia" w:ascii="宋体" w:hAnsi="宋体"/>
          <w:bCs/>
          <w:kern w:val="0"/>
          <w:szCs w:val="21"/>
        </w:rPr>
        <w:t>本合同一式六份，甲、乙双方授权代表签字并盖单位公章后生效，具有同等法律效力。</w:t>
      </w:r>
    </w:p>
    <w:p>
      <w:pPr>
        <w:widowControl/>
        <w:spacing w:line="360" w:lineRule="auto"/>
        <w:ind w:firstLine="1800" w:firstLineChars="750"/>
        <w:rPr>
          <w:rFonts w:ascii="宋体" w:hAnsi="宋体"/>
          <w:kern w:val="0"/>
          <w:szCs w:val="21"/>
        </w:rPr>
      </w:pPr>
      <w:r>
        <w:rPr>
          <w:rFonts w:hint="eastAsia" w:ascii="宋体" w:hAnsi="宋体"/>
          <w:kern w:val="0"/>
          <w:szCs w:val="21"/>
        </w:rPr>
        <w:t>甲    方：                 　乙    方：</w:t>
      </w:r>
    </w:p>
    <w:p>
      <w:pPr>
        <w:widowControl/>
        <w:spacing w:line="360" w:lineRule="auto"/>
        <w:ind w:firstLine="1800" w:firstLineChars="750"/>
        <w:rPr>
          <w:rFonts w:ascii="宋体" w:hAnsi="宋体"/>
          <w:kern w:val="0"/>
          <w:szCs w:val="21"/>
        </w:rPr>
      </w:pPr>
      <w:r>
        <w:rPr>
          <w:rFonts w:hint="eastAsia" w:ascii="宋体" w:hAnsi="宋体"/>
          <w:kern w:val="0"/>
          <w:szCs w:val="21"/>
        </w:rPr>
        <w:t>单位地址：                   单位地址：</w:t>
      </w:r>
    </w:p>
    <w:p>
      <w:pPr>
        <w:widowControl/>
        <w:spacing w:line="360" w:lineRule="auto"/>
        <w:ind w:firstLine="1560" w:firstLineChars="650"/>
        <w:rPr>
          <w:rFonts w:ascii="宋体" w:hAnsi="宋体"/>
          <w:kern w:val="0"/>
          <w:szCs w:val="21"/>
        </w:rPr>
      </w:pPr>
      <w:r>
        <w:rPr>
          <w:rFonts w:hint="eastAsia" w:ascii="宋体" w:hAnsi="宋体"/>
          <w:kern w:val="0"/>
          <w:szCs w:val="21"/>
        </w:rPr>
        <w:t>法定代表人：                 法定代表人：</w:t>
      </w:r>
    </w:p>
    <w:p>
      <w:pPr>
        <w:widowControl/>
        <w:spacing w:line="360" w:lineRule="auto"/>
        <w:ind w:firstLine="1560" w:firstLineChars="650"/>
        <w:rPr>
          <w:rFonts w:ascii="宋体" w:hAnsi="宋体"/>
          <w:kern w:val="0"/>
          <w:szCs w:val="21"/>
        </w:rPr>
      </w:pPr>
      <w:r>
        <w:rPr>
          <w:rFonts w:hint="eastAsia" w:ascii="宋体" w:hAnsi="宋体"/>
          <w:kern w:val="0"/>
          <w:szCs w:val="21"/>
        </w:rPr>
        <w:t>委托代理人：                 委托代理人：</w:t>
      </w:r>
    </w:p>
    <w:p>
      <w:pPr>
        <w:widowControl/>
        <w:spacing w:line="360" w:lineRule="auto"/>
        <w:ind w:firstLine="1800" w:firstLineChars="750"/>
        <w:rPr>
          <w:rFonts w:ascii="宋体" w:hAnsi="宋体"/>
          <w:kern w:val="0"/>
          <w:szCs w:val="21"/>
        </w:rPr>
      </w:pPr>
      <w:r>
        <w:rPr>
          <w:rFonts w:hint="eastAsia" w:ascii="宋体" w:hAnsi="宋体"/>
          <w:kern w:val="0"/>
          <w:szCs w:val="21"/>
        </w:rPr>
        <w:t>电    话：                   电    话：</w:t>
      </w:r>
    </w:p>
    <w:p>
      <w:pPr>
        <w:widowControl/>
        <w:spacing w:line="360" w:lineRule="auto"/>
        <w:ind w:firstLine="1800" w:firstLineChars="750"/>
        <w:rPr>
          <w:rFonts w:ascii="宋体" w:hAnsi="宋体"/>
          <w:kern w:val="0"/>
          <w:szCs w:val="21"/>
        </w:rPr>
      </w:pPr>
      <w:r>
        <w:rPr>
          <w:rFonts w:hint="eastAsia" w:ascii="宋体" w:hAnsi="宋体"/>
          <w:kern w:val="0"/>
          <w:szCs w:val="21"/>
        </w:rPr>
        <w:t>开户银行：                   开户银行：</w:t>
      </w:r>
    </w:p>
    <w:p>
      <w:pPr>
        <w:widowControl/>
        <w:spacing w:line="360" w:lineRule="auto"/>
        <w:ind w:firstLine="1800" w:firstLineChars="750"/>
        <w:rPr>
          <w:rFonts w:ascii="宋体" w:hAnsi="宋体"/>
          <w:kern w:val="0"/>
          <w:szCs w:val="21"/>
        </w:rPr>
      </w:pPr>
      <w:r>
        <w:rPr>
          <w:rFonts w:hint="eastAsia" w:ascii="宋体" w:hAnsi="宋体"/>
          <w:kern w:val="0"/>
          <w:szCs w:val="21"/>
        </w:rPr>
        <w:t>账    号：                   账    号：</w:t>
      </w:r>
    </w:p>
    <w:p>
      <w:pPr>
        <w:spacing w:line="400" w:lineRule="exact"/>
        <w:rPr>
          <w:rFonts w:ascii="宋体" w:hAnsi="宋体"/>
          <w:b/>
          <w:bCs/>
          <w:szCs w:val="21"/>
          <w:highlight w:val="yellow"/>
        </w:rPr>
      </w:pPr>
    </w:p>
    <w:p>
      <w:pPr>
        <w:pStyle w:val="2"/>
        <w:rPr>
          <w:rFonts w:ascii="宋体" w:hAnsi="宋体"/>
        </w:rPr>
      </w:pPr>
    </w:p>
    <w:p>
      <w:pPr>
        <w:pStyle w:val="2"/>
        <w:rPr>
          <w:rFonts w:ascii="宋体" w:hAnsi="宋体"/>
        </w:rPr>
      </w:pPr>
    </w:p>
    <w:p>
      <w:pPr>
        <w:pStyle w:val="2"/>
        <w:rPr>
          <w:rFonts w:ascii="宋体" w:hAnsi="宋体"/>
        </w:rPr>
      </w:pPr>
    </w:p>
    <w:p>
      <w:pPr>
        <w:pStyle w:val="2"/>
        <w:rPr>
          <w:rFonts w:ascii="宋体" w:hAnsi="宋体"/>
        </w:rPr>
      </w:pPr>
    </w:p>
    <w:p>
      <w:pPr>
        <w:pStyle w:val="2"/>
        <w:rPr>
          <w:rFonts w:ascii="宋体" w:hAnsi="宋体"/>
        </w:rPr>
      </w:pPr>
    </w:p>
    <w:p>
      <w:pPr>
        <w:pStyle w:val="2"/>
        <w:rPr>
          <w:rFonts w:ascii="宋体" w:hAnsi="宋体"/>
        </w:rPr>
      </w:pPr>
    </w:p>
    <w:p>
      <w:pPr>
        <w:pStyle w:val="2"/>
        <w:rPr>
          <w:rFonts w:ascii="宋体" w:hAnsi="宋体"/>
        </w:rPr>
      </w:pPr>
    </w:p>
    <w:p>
      <w:pPr>
        <w:pStyle w:val="2"/>
        <w:rPr>
          <w:rFonts w:ascii="宋体" w:hAnsi="宋体"/>
        </w:rPr>
      </w:pPr>
    </w:p>
    <w:p>
      <w:pPr>
        <w:pStyle w:val="2"/>
        <w:rPr>
          <w:rFonts w:ascii="宋体" w:hAnsi="宋体"/>
        </w:rPr>
      </w:pPr>
    </w:p>
    <w:p>
      <w:pPr>
        <w:pStyle w:val="2"/>
        <w:rPr>
          <w:rFonts w:ascii="宋体" w:hAnsi="宋体"/>
        </w:rPr>
      </w:pPr>
    </w:p>
    <w:p>
      <w:pPr>
        <w:pStyle w:val="2"/>
        <w:rPr>
          <w:rFonts w:ascii="宋体" w:hAnsi="宋体"/>
        </w:rPr>
      </w:pPr>
    </w:p>
    <w:p>
      <w:pPr>
        <w:pStyle w:val="2"/>
        <w:rPr>
          <w:rFonts w:ascii="宋体" w:hAnsi="宋体"/>
        </w:rPr>
      </w:pPr>
    </w:p>
    <w:p>
      <w:pPr>
        <w:pStyle w:val="2"/>
        <w:rPr>
          <w:rFonts w:ascii="宋体" w:hAnsi="宋体"/>
        </w:rPr>
      </w:pPr>
    </w:p>
    <w:p>
      <w:pPr>
        <w:pStyle w:val="2"/>
        <w:rPr>
          <w:rFonts w:ascii="宋体" w:hAnsi="宋体"/>
        </w:rPr>
      </w:pPr>
    </w:p>
    <w:p>
      <w:pPr>
        <w:pStyle w:val="2"/>
        <w:rPr>
          <w:rFonts w:ascii="宋体" w:hAnsi="宋体"/>
        </w:rPr>
      </w:pPr>
    </w:p>
    <w:p>
      <w:pPr>
        <w:pStyle w:val="2"/>
        <w:rPr>
          <w:rFonts w:ascii="宋体" w:hAnsi="宋体"/>
        </w:rPr>
      </w:pPr>
    </w:p>
    <w:p>
      <w:pPr>
        <w:pStyle w:val="2"/>
        <w:rPr>
          <w:rFonts w:ascii="宋体" w:hAnsi="宋体"/>
        </w:rPr>
      </w:pPr>
    </w:p>
    <w:p>
      <w:pPr>
        <w:pStyle w:val="2"/>
        <w:rPr>
          <w:rFonts w:ascii="宋体" w:hAnsi="宋体"/>
        </w:rPr>
      </w:pPr>
    </w:p>
    <w:p>
      <w:pPr>
        <w:pStyle w:val="2"/>
        <w:rPr>
          <w:rFonts w:ascii="宋体" w:hAnsi="宋体"/>
        </w:rPr>
      </w:pPr>
    </w:p>
    <w:p>
      <w:pPr>
        <w:pStyle w:val="2"/>
        <w:rPr>
          <w:rFonts w:ascii="宋体" w:hAnsi="宋体"/>
        </w:rPr>
      </w:pPr>
    </w:p>
    <w:p>
      <w:pPr>
        <w:pStyle w:val="2"/>
        <w:rPr>
          <w:rFonts w:ascii="宋体" w:hAnsi="宋体"/>
        </w:rPr>
      </w:pPr>
    </w:p>
    <w:p>
      <w:pPr>
        <w:pStyle w:val="2"/>
        <w:rPr>
          <w:rFonts w:ascii="宋体" w:hAnsi="宋体"/>
        </w:rPr>
      </w:pPr>
    </w:p>
    <w:p>
      <w:pPr>
        <w:pStyle w:val="2"/>
        <w:rPr>
          <w:rFonts w:ascii="宋体" w:hAnsi="宋体"/>
        </w:rPr>
      </w:pPr>
    </w:p>
    <w:p>
      <w:pPr>
        <w:pStyle w:val="2"/>
        <w:rPr>
          <w:rFonts w:ascii="宋体" w:hAnsi="宋体"/>
        </w:rPr>
      </w:pPr>
    </w:p>
    <w:p>
      <w:pPr>
        <w:pStyle w:val="2"/>
        <w:rPr>
          <w:rFonts w:ascii="宋体" w:hAnsi="宋体"/>
        </w:rPr>
      </w:pPr>
    </w:p>
    <w:p>
      <w:pPr>
        <w:pStyle w:val="32"/>
        <w:numPr>
          <w:ilvl w:val="0"/>
          <w:numId w:val="2"/>
        </w:numPr>
        <w:spacing w:line="480" w:lineRule="exact"/>
        <w:ind w:right="-72" w:rightChars="-30"/>
        <w:rPr>
          <w:rFonts w:ascii="宋体" w:hAnsi="宋体" w:cs="宋体"/>
          <w:bCs w:val="0"/>
        </w:rPr>
      </w:pPr>
      <w:bookmarkStart w:id="28" w:name="_Toc477166579"/>
      <w:bookmarkStart w:id="29" w:name="_Toc458698253"/>
      <w:bookmarkStart w:id="30" w:name="_Toc17444525"/>
      <w:r>
        <w:rPr>
          <w:rFonts w:hint="eastAsia" w:ascii="宋体" w:hAnsi="宋体" w:cs="宋体"/>
          <w:bCs w:val="0"/>
        </w:rPr>
        <w:t>采购需求</w:t>
      </w:r>
      <w:bookmarkEnd w:id="28"/>
      <w:bookmarkEnd w:id="29"/>
      <w:bookmarkEnd w:id="30"/>
    </w:p>
    <w:p>
      <w:pPr>
        <w:widowControl/>
        <w:numPr>
          <w:ilvl w:val="3"/>
          <w:numId w:val="40"/>
        </w:numPr>
        <w:adjustRightInd w:val="0"/>
        <w:snapToGrid w:val="0"/>
        <w:spacing w:line="400" w:lineRule="exact"/>
        <w:rPr>
          <w:rFonts w:ascii="宋体" w:hAnsi="宋体"/>
          <w:b/>
          <w:color w:val="000000"/>
          <w:kern w:val="0"/>
          <w:sz w:val="32"/>
          <w:szCs w:val="32"/>
        </w:rPr>
      </w:pPr>
      <w:r>
        <w:rPr>
          <w:rFonts w:hint="eastAsia" w:ascii="宋体" w:hAnsi="宋体"/>
          <w:b/>
          <w:color w:val="000000"/>
          <w:kern w:val="0"/>
          <w:sz w:val="32"/>
          <w:szCs w:val="32"/>
        </w:rPr>
        <w:t>相关说明</w:t>
      </w:r>
    </w:p>
    <w:p>
      <w:pPr>
        <w:widowControl/>
        <w:numPr>
          <w:ilvl w:val="2"/>
          <w:numId w:val="41"/>
        </w:numPr>
        <w:adjustRightInd w:val="0"/>
        <w:snapToGrid w:val="0"/>
        <w:spacing w:line="400" w:lineRule="exact"/>
        <w:ind w:firstLine="480" w:firstLineChars="200"/>
        <w:jc w:val="left"/>
        <w:rPr>
          <w:rFonts w:ascii="宋体" w:hAnsi="宋体"/>
          <w:color w:val="000000"/>
          <w:kern w:val="0"/>
          <w:szCs w:val="21"/>
        </w:rPr>
      </w:pPr>
      <w:r>
        <w:rPr>
          <w:rFonts w:hint="eastAsia" w:ascii="宋体" w:hAnsi="宋体"/>
          <w:color w:val="000000"/>
          <w:kern w:val="0"/>
          <w:szCs w:val="21"/>
        </w:rPr>
        <w:t>本次采购内容如果要求的某些技术标准低于国家标准，均以最新的国家标准为准。招标技术要求中未明确的技术标准也均不得低于国家标准；</w:t>
      </w:r>
    </w:p>
    <w:p>
      <w:pPr>
        <w:widowControl/>
        <w:numPr>
          <w:ilvl w:val="2"/>
          <w:numId w:val="41"/>
        </w:numPr>
        <w:adjustRightInd w:val="0"/>
        <w:snapToGrid w:val="0"/>
        <w:spacing w:line="400" w:lineRule="exact"/>
        <w:ind w:firstLine="480" w:firstLineChars="200"/>
        <w:jc w:val="left"/>
        <w:rPr>
          <w:rFonts w:ascii="宋体" w:hAnsi="宋体"/>
          <w:color w:val="000000"/>
          <w:kern w:val="0"/>
          <w:szCs w:val="21"/>
        </w:rPr>
      </w:pPr>
      <w:r>
        <w:rPr>
          <w:rFonts w:hint="eastAsia" w:ascii="宋体" w:hAnsi="宋体"/>
          <w:color w:val="000000"/>
          <w:kern w:val="0"/>
          <w:szCs w:val="21"/>
        </w:rPr>
        <w:t>本采购项目为交钥匙项目，验收合格前所需的一切费用均包含在报价之中，采购人不承担成交价格以外的任何费用。</w:t>
      </w:r>
    </w:p>
    <w:p>
      <w:pPr>
        <w:widowControl/>
        <w:numPr>
          <w:ilvl w:val="3"/>
          <w:numId w:val="40"/>
        </w:numPr>
        <w:adjustRightInd w:val="0"/>
        <w:snapToGrid w:val="0"/>
        <w:spacing w:line="400" w:lineRule="exact"/>
        <w:rPr>
          <w:rFonts w:ascii="宋体" w:hAnsi="宋体"/>
          <w:b/>
          <w:color w:val="000000"/>
          <w:kern w:val="0"/>
          <w:sz w:val="32"/>
          <w:szCs w:val="32"/>
        </w:rPr>
      </w:pPr>
      <w:r>
        <w:rPr>
          <w:rFonts w:hint="eastAsia" w:ascii="宋体" w:hAnsi="宋体"/>
          <w:b/>
          <w:color w:val="000000"/>
          <w:kern w:val="0"/>
          <w:sz w:val="32"/>
          <w:szCs w:val="32"/>
        </w:rPr>
        <w:t>商务要求：</w:t>
      </w:r>
    </w:p>
    <w:p>
      <w:pPr>
        <w:numPr>
          <w:ilvl w:val="2"/>
          <w:numId w:val="42"/>
        </w:numPr>
        <w:spacing w:line="400" w:lineRule="exact"/>
        <w:ind w:firstLine="480" w:firstLineChars="200"/>
        <w:rPr>
          <w:rFonts w:ascii="宋体" w:hAnsi="宋体"/>
          <w:szCs w:val="21"/>
        </w:rPr>
      </w:pPr>
      <w:r>
        <w:rPr>
          <w:rFonts w:hint="eastAsia" w:ascii="宋体" w:hAnsi="宋体"/>
          <w:szCs w:val="21"/>
        </w:rPr>
        <w:t>合同履行期限：签订合同后25日历天。</w:t>
      </w:r>
    </w:p>
    <w:p>
      <w:pPr>
        <w:numPr>
          <w:ilvl w:val="2"/>
          <w:numId w:val="42"/>
        </w:numPr>
        <w:spacing w:line="400" w:lineRule="exact"/>
        <w:ind w:firstLine="480" w:firstLineChars="200"/>
        <w:rPr>
          <w:rFonts w:ascii="宋体" w:hAnsi="宋体"/>
          <w:szCs w:val="21"/>
        </w:rPr>
      </w:pPr>
      <w:r>
        <w:rPr>
          <w:rFonts w:hint="eastAsia" w:ascii="宋体" w:hAnsi="宋体"/>
          <w:szCs w:val="21"/>
        </w:rPr>
        <w:t>供货安装地点：武陟县疾控中心院内。</w:t>
      </w:r>
    </w:p>
    <w:p>
      <w:pPr>
        <w:numPr>
          <w:ilvl w:val="2"/>
          <w:numId w:val="42"/>
        </w:numPr>
        <w:spacing w:line="400" w:lineRule="exact"/>
        <w:ind w:firstLine="480" w:firstLineChars="200"/>
        <w:rPr>
          <w:rFonts w:ascii="宋体" w:hAnsi="宋体"/>
          <w:szCs w:val="21"/>
        </w:rPr>
      </w:pPr>
      <w:r>
        <w:rPr>
          <w:rFonts w:hint="eastAsia" w:ascii="宋体" w:hAnsi="宋体"/>
          <w:szCs w:val="21"/>
        </w:rPr>
        <w:t>质量标准： 符合国家相关质量标准</w:t>
      </w:r>
    </w:p>
    <w:p>
      <w:pPr>
        <w:numPr>
          <w:ilvl w:val="2"/>
          <w:numId w:val="42"/>
        </w:numPr>
        <w:spacing w:line="400" w:lineRule="exact"/>
        <w:ind w:firstLine="480" w:firstLineChars="200"/>
        <w:rPr>
          <w:rFonts w:ascii="宋体" w:hAnsi="宋体"/>
          <w:szCs w:val="21"/>
        </w:rPr>
      </w:pPr>
      <w:r>
        <w:rPr>
          <w:rFonts w:hint="eastAsia" w:ascii="宋体" w:hAnsi="宋体"/>
          <w:szCs w:val="21"/>
        </w:rPr>
        <w:t>质量保证期：</w:t>
      </w:r>
      <w:r>
        <w:rPr>
          <w:rFonts w:hint="eastAsia" w:ascii="宋体" w:hAnsi="宋体"/>
          <w:szCs w:val="21"/>
          <w:lang w:val="zh-CN"/>
        </w:rPr>
        <w:t>质保期不低于一年，国家或行业标准规定超过一年的执行国家或行业标准规定。</w:t>
      </w:r>
    </w:p>
    <w:p>
      <w:pPr>
        <w:numPr>
          <w:ilvl w:val="2"/>
          <w:numId w:val="42"/>
        </w:numPr>
        <w:spacing w:line="400" w:lineRule="exact"/>
        <w:ind w:firstLine="480" w:firstLineChars="200"/>
        <w:rPr>
          <w:rFonts w:ascii="宋体" w:hAnsi="宋体"/>
          <w:szCs w:val="21"/>
        </w:rPr>
      </w:pPr>
      <w:r>
        <w:rPr>
          <w:rFonts w:hint="eastAsia" w:ascii="宋体" w:hAnsi="宋体"/>
          <w:szCs w:val="21"/>
        </w:rPr>
        <w:t>履约担保：中标人与采购人签订合同前，需向采购人交纳中标金额的</w:t>
      </w:r>
      <w:r>
        <w:rPr>
          <w:rFonts w:hint="eastAsia" w:ascii="宋体" w:hAnsi="宋体"/>
          <w:szCs w:val="21"/>
          <w:u w:val="single"/>
        </w:rPr>
        <w:t>5　</w:t>
      </w:r>
      <w:r>
        <w:rPr>
          <w:rFonts w:hint="eastAsia" w:ascii="宋体" w:hAnsi="宋体"/>
          <w:szCs w:val="21"/>
        </w:rPr>
        <w:t>%作为履约保证金，合同履行结束，经验收合格后退还。</w:t>
      </w:r>
    </w:p>
    <w:p>
      <w:pPr>
        <w:numPr>
          <w:ilvl w:val="2"/>
          <w:numId w:val="42"/>
        </w:numPr>
        <w:spacing w:line="400" w:lineRule="exact"/>
        <w:ind w:firstLine="480" w:firstLineChars="200"/>
        <w:rPr>
          <w:rFonts w:ascii="宋体" w:hAnsi="宋体"/>
          <w:szCs w:val="21"/>
        </w:rPr>
      </w:pPr>
      <w:r>
        <w:rPr>
          <w:rFonts w:hint="eastAsia" w:ascii="宋体" w:hAnsi="宋体"/>
          <w:szCs w:val="21"/>
        </w:rPr>
        <w:t>付款方式：合同签订后货物送达甲方指定地点后付至合同价款50%，安装并调试完毕通过验收后（15个工作日）付至合同价款90%，质保期满后无质量问题无息付清余款。</w:t>
      </w:r>
    </w:p>
    <w:p>
      <w:pPr>
        <w:widowControl/>
        <w:numPr>
          <w:ilvl w:val="3"/>
          <w:numId w:val="40"/>
        </w:numPr>
        <w:adjustRightInd w:val="0"/>
        <w:snapToGrid w:val="0"/>
        <w:spacing w:line="400" w:lineRule="exact"/>
        <w:rPr>
          <w:rFonts w:ascii="宋体" w:hAnsi="宋体"/>
          <w:b/>
          <w:color w:val="000000"/>
          <w:kern w:val="0"/>
          <w:sz w:val="32"/>
          <w:szCs w:val="32"/>
        </w:rPr>
      </w:pPr>
      <w:r>
        <w:rPr>
          <w:rFonts w:hint="eastAsia" w:ascii="宋体" w:hAnsi="宋体"/>
          <w:b/>
          <w:color w:val="000000"/>
          <w:kern w:val="0"/>
          <w:sz w:val="32"/>
          <w:szCs w:val="32"/>
        </w:rPr>
        <w:t>其他要求：</w:t>
      </w:r>
    </w:p>
    <w:p>
      <w:pPr>
        <w:spacing w:line="440" w:lineRule="exact"/>
        <w:ind w:firstLine="480" w:firstLineChars="200"/>
        <w:contextualSpacing/>
        <w:rPr>
          <w:rFonts w:ascii="宋体" w:hAnsi="宋体"/>
          <w:lang w:val="zh-CN"/>
        </w:rPr>
      </w:pPr>
      <w:r>
        <w:rPr>
          <w:rFonts w:hint="eastAsia" w:ascii="宋体" w:hAnsi="宋体"/>
          <w:lang w:val="zh-CN"/>
        </w:rPr>
        <w:t>1</w:t>
      </w:r>
      <w:r>
        <w:rPr>
          <w:rFonts w:hint="eastAsia" w:ascii="宋体" w:hAnsi="宋体"/>
        </w:rPr>
        <w:t>.</w:t>
      </w:r>
      <w:r>
        <w:rPr>
          <w:rFonts w:hint="eastAsia" w:ascii="宋体" w:hAnsi="宋体"/>
          <w:lang w:val="zh-CN"/>
        </w:rPr>
        <w:t>投标人须明确投标产品的厂家、产地、品牌、型号、详细参数，否则为无效投标。</w:t>
      </w:r>
    </w:p>
    <w:p>
      <w:pPr>
        <w:spacing w:line="440" w:lineRule="exact"/>
        <w:ind w:firstLine="480" w:firstLineChars="200"/>
        <w:contextualSpacing/>
        <w:rPr>
          <w:rFonts w:ascii="宋体" w:hAnsi="宋体"/>
          <w:lang w:val="zh-CN"/>
        </w:rPr>
      </w:pPr>
      <w:r>
        <w:rPr>
          <w:rFonts w:hint="eastAsia" w:ascii="宋体" w:hAnsi="宋体"/>
          <w:lang w:val="zh-CN"/>
        </w:rPr>
        <w:t>2</w:t>
      </w:r>
      <w:r>
        <w:rPr>
          <w:rFonts w:hint="eastAsia" w:ascii="宋体" w:hAnsi="宋体"/>
        </w:rPr>
        <w:t>.</w:t>
      </w:r>
      <w:r>
        <w:rPr>
          <w:rFonts w:hint="eastAsia" w:ascii="宋体" w:hAnsi="宋体"/>
          <w:lang w:val="zh-CN"/>
        </w:rPr>
        <w:t>投标人应就该项目完整投标，否则为无效投标。</w:t>
      </w:r>
    </w:p>
    <w:p>
      <w:pPr>
        <w:spacing w:line="440" w:lineRule="exact"/>
        <w:ind w:firstLine="480" w:firstLineChars="200"/>
        <w:rPr>
          <w:rFonts w:ascii="宋体" w:hAnsi="宋体"/>
          <w:szCs w:val="21"/>
        </w:rPr>
      </w:pPr>
      <w:r>
        <w:rPr>
          <w:rFonts w:hint="eastAsia" w:ascii="宋体" w:hAnsi="宋体"/>
          <w:lang w:val="zh-CN"/>
        </w:rPr>
        <w:t>3</w:t>
      </w:r>
      <w:r>
        <w:rPr>
          <w:rFonts w:hint="eastAsia" w:ascii="宋体" w:hAnsi="宋体"/>
        </w:rPr>
        <w:t>.</w:t>
      </w:r>
      <w:r>
        <w:rPr>
          <w:rFonts w:hint="eastAsia" w:ascii="宋体" w:hAnsi="宋体"/>
          <w:lang w:val="zh-CN"/>
        </w:rPr>
        <w:t>本招标文件所列需求为最低要求，投标产品不得低于最低要求，否则为无效投标。</w:t>
      </w:r>
    </w:p>
    <w:p>
      <w:pPr>
        <w:spacing w:line="400" w:lineRule="exact"/>
        <w:ind w:firstLine="480" w:firstLineChars="200"/>
        <w:rPr>
          <w:rFonts w:ascii="宋体" w:hAnsi="宋体"/>
          <w:b/>
          <w:bCs/>
          <w:highlight w:val="yellow"/>
          <w:lang w:val="zh-CN"/>
        </w:rPr>
      </w:pPr>
      <w:r>
        <w:rPr>
          <w:rFonts w:hint="eastAsia" w:ascii="宋体" w:hAnsi="宋体"/>
        </w:rPr>
        <w:t>4</w:t>
      </w:r>
      <w:r>
        <w:rPr>
          <w:rFonts w:hint="eastAsia" w:ascii="宋体" w:hAnsi="宋体"/>
          <w:lang w:val="zh-CN"/>
        </w:rPr>
        <w:t>、投标人所投产品若属于“中国强制性产品认证”（3C认证）范围内,则必须承诺采用《中华人民共和国实施强制性产品认证的产品目录》并在有效期内的产品，应在投标文件中提供“所投产品符合国家强制性要求承诺函”</w:t>
      </w:r>
      <w:r>
        <w:rPr>
          <w:rFonts w:hint="eastAsia" w:ascii="宋体" w:hAnsi="宋体"/>
          <w:b/>
          <w:bCs/>
          <w:lang w:val="zh-CN"/>
        </w:rPr>
        <w:t>（承诺函附投标文件商务技术证明文件中，格式自拟，否则为无效投标）。</w:t>
      </w:r>
    </w:p>
    <w:p>
      <w:pPr>
        <w:spacing w:line="440" w:lineRule="exact"/>
        <w:ind w:firstLine="480" w:firstLineChars="200"/>
        <w:rPr>
          <w:rFonts w:ascii="宋体" w:hAnsi="宋体"/>
          <w:lang w:val="zh-CN"/>
        </w:rPr>
      </w:pPr>
      <w:r>
        <w:rPr>
          <w:rFonts w:hint="eastAsia" w:ascii="宋体" w:hAnsi="宋体"/>
        </w:rPr>
        <w:t>5</w:t>
      </w:r>
      <w:r>
        <w:rPr>
          <w:rFonts w:hint="eastAsia" w:ascii="宋体" w:hAnsi="宋体"/>
          <w:lang w:val="zh-CN"/>
        </w:rPr>
        <w:t>、专利权：投标人应保证用户在使用该货物或其任何一部分时不受第三方提出侵犯其专利权、商标权和工业设计权等的起诉</w:t>
      </w:r>
      <w:r>
        <w:rPr>
          <w:rFonts w:hint="eastAsia" w:ascii="宋体" w:hAnsi="宋体"/>
          <w:b/>
          <w:bCs/>
          <w:lang w:val="zh-CN"/>
        </w:rPr>
        <w:t>(须提供承诺函，承诺函附投标文件商务技术证明文件中，格式自拟，否则为无效投标)。</w:t>
      </w:r>
    </w:p>
    <w:p>
      <w:pPr>
        <w:spacing w:line="440" w:lineRule="exact"/>
        <w:ind w:firstLine="480" w:firstLineChars="200"/>
        <w:contextualSpacing/>
        <w:rPr>
          <w:rFonts w:ascii="宋体" w:hAnsi="宋体"/>
          <w:lang w:val="zh-CN"/>
        </w:rPr>
      </w:pPr>
      <w:r>
        <w:rPr>
          <w:rFonts w:hint="eastAsia" w:ascii="宋体" w:hAnsi="宋体"/>
        </w:rPr>
        <w:t>6</w:t>
      </w:r>
      <w:r>
        <w:rPr>
          <w:rFonts w:hint="eastAsia" w:ascii="宋体" w:hAnsi="宋体"/>
          <w:lang w:val="zh-CN"/>
        </w:rPr>
        <w:t>、验收标准</w:t>
      </w:r>
    </w:p>
    <w:p>
      <w:pPr>
        <w:spacing w:line="440" w:lineRule="exact"/>
        <w:ind w:firstLine="480" w:firstLineChars="200"/>
        <w:contextualSpacing/>
        <w:rPr>
          <w:rFonts w:ascii="宋体" w:hAnsi="宋体"/>
          <w:lang w:val="zh-CN"/>
        </w:rPr>
      </w:pPr>
      <w:r>
        <w:rPr>
          <w:rFonts w:hint="eastAsia" w:ascii="宋体" w:hAnsi="宋体"/>
        </w:rPr>
        <w:t>6</w:t>
      </w:r>
      <w:r>
        <w:rPr>
          <w:rFonts w:hint="eastAsia" w:ascii="宋体" w:hAnsi="宋体"/>
          <w:lang w:val="zh-CN"/>
        </w:rPr>
        <w:t>.1本项目完成后，由采购人成立验收小组,按照采购合同的约定对中标人履约情况进行验收。验收时,按照采购合同的约定对每一项货物的质量、安全标准的履约情况进行确认。验收不合格的采购人有权拒收其所有产品，一切后果由供应商自行承担，验收结束后,出具验收书,列明各项标准的验收情况及项目总体评价,由验收双方共同签署。</w:t>
      </w:r>
    </w:p>
    <w:p>
      <w:pPr>
        <w:spacing w:line="440" w:lineRule="exact"/>
        <w:ind w:firstLine="480" w:firstLineChars="200"/>
        <w:contextualSpacing/>
        <w:rPr>
          <w:rFonts w:ascii="宋体" w:hAnsi="宋体"/>
          <w:lang w:val="zh-CN"/>
        </w:rPr>
      </w:pPr>
      <w:r>
        <w:rPr>
          <w:rFonts w:hint="eastAsia" w:ascii="宋体" w:hAnsi="宋体"/>
        </w:rPr>
        <w:t>6</w:t>
      </w:r>
      <w:r>
        <w:rPr>
          <w:rFonts w:hint="eastAsia" w:ascii="宋体" w:hAnsi="宋体"/>
          <w:lang w:val="zh-CN"/>
        </w:rPr>
        <w:t>.2按照招标文件要求、投标文件响应和承诺验收。</w:t>
      </w:r>
    </w:p>
    <w:p>
      <w:pPr>
        <w:spacing w:line="440" w:lineRule="exact"/>
        <w:ind w:firstLine="480" w:firstLineChars="200"/>
        <w:contextualSpacing/>
        <w:rPr>
          <w:rFonts w:ascii="宋体" w:hAnsi="宋体"/>
          <w:lang w:val="zh-CN"/>
        </w:rPr>
      </w:pPr>
      <w:r>
        <w:rPr>
          <w:rFonts w:hint="eastAsia" w:ascii="宋体" w:hAnsi="宋体"/>
        </w:rPr>
        <w:t>6</w:t>
      </w:r>
      <w:r>
        <w:rPr>
          <w:rFonts w:hint="eastAsia" w:ascii="宋体" w:hAnsi="宋体"/>
          <w:lang w:val="zh-CN"/>
        </w:rPr>
        <w:t>.3按照国家及行业相关标准验收。</w:t>
      </w:r>
    </w:p>
    <w:p>
      <w:pPr>
        <w:pStyle w:val="34"/>
        <w:ind w:firstLine="480" w:firstLineChars="200"/>
        <w:rPr>
          <w:rFonts w:asciiTheme="majorEastAsia" w:hAnsiTheme="majorEastAsia" w:eastAsiaTheme="majorEastAsia"/>
        </w:rPr>
      </w:pPr>
      <w:r>
        <w:rPr>
          <w:rFonts w:hint="eastAsia" w:ascii="宋体" w:hAnsi="宋体" w:eastAsia="宋体" w:cs="宋体"/>
          <w:sz w:val="24"/>
        </w:rPr>
        <w:t>6.4实验室整体</w:t>
      </w:r>
      <w:r>
        <w:rPr>
          <w:rFonts w:hint="eastAsia" w:asciiTheme="majorEastAsia" w:hAnsiTheme="majorEastAsia" w:eastAsiaTheme="majorEastAsia"/>
          <w:color w:val="000000"/>
          <w:sz w:val="22"/>
          <w:szCs w:val="22"/>
        </w:rPr>
        <w:t>具体方案投标人可勘察现场自行设计，实验室安装完成后需要经河南省相关部门验收</w:t>
      </w:r>
      <w:r>
        <w:rPr>
          <w:rFonts w:hint="eastAsia" w:ascii="宋体" w:hAnsi="宋体" w:eastAsia="宋体" w:cs="宋体"/>
          <w:sz w:val="24"/>
        </w:rPr>
        <w:t>并通过认证</w:t>
      </w:r>
      <w:r>
        <w:rPr>
          <w:rFonts w:hint="eastAsia" w:asciiTheme="majorEastAsia" w:hAnsiTheme="majorEastAsia" w:eastAsiaTheme="majorEastAsia"/>
          <w:color w:val="000000"/>
          <w:sz w:val="22"/>
          <w:szCs w:val="22"/>
        </w:rPr>
        <w:t>。</w:t>
      </w:r>
    </w:p>
    <w:p>
      <w:pPr>
        <w:spacing w:line="440" w:lineRule="exact"/>
        <w:ind w:firstLine="480" w:firstLineChars="200"/>
        <w:contextualSpacing/>
        <w:rPr>
          <w:rFonts w:ascii="宋体" w:hAnsi="宋体"/>
        </w:rPr>
      </w:pPr>
      <w:r>
        <w:rPr>
          <w:rFonts w:hint="eastAsia" w:ascii="宋体" w:hAnsi="宋体"/>
        </w:rPr>
        <w:t>7、培训要求</w:t>
      </w:r>
    </w:p>
    <w:p>
      <w:pPr>
        <w:spacing w:line="440" w:lineRule="exact"/>
        <w:ind w:firstLine="480" w:firstLineChars="200"/>
        <w:contextualSpacing/>
        <w:rPr>
          <w:rFonts w:ascii="宋体" w:hAnsi="宋体"/>
        </w:rPr>
      </w:pPr>
      <w:r>
        <w:rPr>
          <w:rFonts w:hint="eastAsia" w:ascii="宋体" w:hAnsi="宋体"/>
        </w:rPr>
        <w:t>通过培训使采购人相关人员掌握有关的使用、维护和管理方法，达到能独立进行管理、一般故障处理、日常检测和维护等工作的目标。</w:t>
      </w:r>
    </w:p>
    <w:p>
      <w:pPr>
        <w:widowControl/>
        <w:wordWrap w:val="0"/>
        <w:spacing w:line="440" w:lineRule="exact"/>
        <w:ind w:firstLine="480" w:firstLineChars="200"/>
        <w:rPr>
          <w:rFonts w:ascii="宋体" w:hAnsi="宋体"/>
          <w:color w:val="000000"/>
          <w:kern w:val="0"/>
        </w:rPr>
      </w:pPr>
      <w:r>
        <w:rPr>
          <w:rFonts w:hint="eastAsia" w:ascii="宋体" w:hAnsi="宋体"/>
          <w:color w:val="000000"/>
          <w:kern w:val="0"/>
        </w:rPr>
        <w:t>8.商品包装要求：</w:t>
      </w:r>
    </w:p>
    <w:p>
      <w:pPr>
        <w:widowControl/>
        <w:wordWrap w:val="0"/>
        <w:spacing w:line="440" w:lineRule="exact"/>
        <w:rPr>
          <w:rFonts w:ascii="宋体" w:hAnsi="宋体"/>
          <w:color w:val="000000"/>
          <w:kern w:val="0"/>
        </w:rPr>
      </w:pPr>
      <w:r>
        <w:rPr>
          <w:rFonts w:hint="eastAsia" w:ascii="宋体" w:hAnsi="宋体"/>
          <w:color w:val="000000"/>
          <w:kern w:val="0"/>
        </w:rPr>
        <w:t xml:space="preserve">1）适用范围 </w:t>
      </w:r>
    </w:p>
    <w:p>
      <w:pPr>
        <w:widowControl/>
        <w:wordWrap w:val="0"/>
        <w:spacing w:line="440" w:lineRule="exact"/>
        <w:ind w:firstLine="480" w:firstLineChars="200"/>
        <w:rPr>
          <w:rFonts w:ascii="宋体" w:hAnsi="宋体"/>
        </w:rPr>
      </w:pPr>
      <w:r>
        <w:rPr>
          <w:rFonts w:hint="eastAsia" w:ascii="宋体" w:hAnsi="宋体"/>
          <w:color w:val="000000"/>
          <w:kern w:val="0"/>
        </w:rPr>
        <w:t xml:space="preserve">本标准规定了商品使用的塑料、纸质、木质等包装材料的环保要求。 </w:t>
      </w:r>
    </w:p>
    <w:p>
      <w:pPr>
        <w:widowControl/>
        <w:wordWrap w:val="0"/>
        <w:spacing w:line="440" w:lineRule="exact"/>
        <w:rPr>
          <w:rFonts w:ascii="宋体" w:hAnsi="宋体"/>
        </w:rPr>
      </w:pPr>
      <w:r>
        <w:rPr>
          <w:rFonts w:hint="eastAsia" w:ascii="宋体" w:hAnsi="宋体"/>
          <w:color w:val="000000"/>
          <w:kern w:val="0"/>
        </w:rPr>
        <w:t xml:space="preserve">2）商品包装环保要求 </w:t>
      </w:r>
    </w:p>
    <w:p>
      <w:pPr>
        <w:widowControl/>
        <w:wordWrap w:val="0"/>
        <w:spacing w:line="440" w:lineRule="exact"/>
        <w:ind w:firstLine="480" w:firstLineChars="200"/>
        <w:rPr>
          <w:rFonts w:ascii="宋体" w:hAnsi="宋体"/>
        </w:rPr>
      </w:pPr>
      <w:r>
        <w:rPr>
          <w:rFonts w:hint="eastAsia" w:ascii="宋体" w:hAnsi="宋体"/>
          <w:color w:val="000000"/>
          <w:kern w:val="0"/>
        </w:rPr>
        <w:t xml:space="preserve">1.商品包装层数不得超过 3 层，空隙率不大于 40%； </w:t>
      </w:r>
    </w:p>
    <w:p>
      <w:pPr>
        <w:widowControl/>
        <w:wordWrap w:val="0"/>
        <w:spacing w:line="440" w:lineRule="exact"/>
        <w:ind w:firstLine="480" w:firstLineChars="200"/>
        <w:rPr>
          <w:rFonts w:ascii="宋体" w:hAnsi="宋体"/>
        </w:rPr>
      </w:pPr>
      <w:r>
        <w:rPr>
          <w:rFonts w:hint="eastAsia" w:ascii="宋体" w:hAnsi="宋体"/>
          <w:color w:val="000000"/>
          <w:kern w:val="0"/>
        </w:rPr>
        <w:t xml:space="preserve">2.商品包装尽可能使用单一材质的包装材料，如因功能需求必需使用不同材质，不同材质间应便于分离； </w:t>
      </w:r>
    </w:p>
    <w:p>
      <w:pPr>
        <w:widowControl/>
        <w:wordWrap w:val="0"/>
        <w:spacing w:line="440" w:lineRule="exact"/>
        <w:ind w:firstLine="480" w:firstLineChars="200"/>
        <w:rPr>
          <w:rFonts w:ascii="宋体" w:hAnsi="宋体"/>
        </w:rPr>
      </w:pPr>
      <w:r>
        <w:rPr>
          <w:rFonts w:hint="eastAsia" w:ascii="宋体" w:hAnsi="宋体"/>
          <w:color w:val="000000"/>
          <w:kern w:val="0"/>
        </w:rPr>
        <w:t xml:space="preserve">3.商品包装中铅、汞、镉、六价铬的总含量应不大于100mg/kg； </w:t>
      </w:r>
    </w:p>
    <w:p>
      <w:pPr>
        <w:widowControl/>
        <w:wordWrap w:val="0"/>
        <w:spacing w:line="440" w:lineRule="exact"/>
        <w:ind w:firstLine="480" w:firstLineChars="200"/>
        <w:rPr>
          <w:rFonts w:ascii="宋体" w:hAnsi="宋体"/>
        </w:rPr>
      </w:pPr>
      <w:r>
        <w:rPr>
          <w:rFonts w:hint="eastAsia" w:ascii="宋体" w:hAnsi="宋体"/>
          <w:color w:val="000000"/>
          <w:kern w:val="0"/>
        </w:rPr>
        <w:t xml:space="preserve">4.商品包装印刷使用的油墨中挥发性有机化合物(VOCs)含量应不大于 5%（以重量计）； </w:t>
      </w:r>
    </w:p>
    <w:p>
      <w:pPr>
        <w:widowControl/>
        <w:wordWrap w:val="0"/>
        <w:spacing w:line="440" w:lineRule="exact"/>
        <w:ind w:firstLine="480" w:firstLineChars="200"/>
        <w:rPr>
          <w:rFonts w:ascii="宋体" w:hAnsi="宋体"/>
        </w:rPr>
      </w:pPr>
      <w:r>
        <w:rPr>
          <w:rFonts w:hint="eastAsia" w:ascii="宋体" w:hAnsi="宋体"/>
          <w:color w:val="000000"/>
          <w:kern w:val="0"/>
        </w:rPr>
        <w:t xml:space="preserve">5.塑料材质商品包装上呈现的印刷颜色不得超过6色； </w:t>
      </w:r>
    </w:p>
    <w:p>
      <w:pPr>
        <w:widowControl/>
        <w:wordWrap w:val="0"/>
        <w:spacing w:line="440" w:lineRule="exact"/>
        <w:ind w:firstLine="480" w:firstLineChars="200"/>
        <w:rPr>
          <w:rFonts w:ascii="宋体" w:hAnsi="宋体"/>
        </w:rPr>
      </w:pPr>
      <w:r>
        <w:rPr>
          <w:rFonts w:hint="eastAsia" w:ascii="宋体" w:hAnsi="宋体"/>
          <w:color w:val="000000"/>
          <w:kern w:val="0"/>
        </w:rPr>
        <w:t xml:space="preserve">6.纸质商品包装应使用75%以上的可再生纤维原料生产； </w:t>
      </w:r>
    </w:p>
    <w:p>
      <w:pPr>
        <w:widowControl/>
        <w:wordWrap w:val="0"/>
        <w:spacing w:line="440" w:lineRule="exact"/>
        <w:ind w:firstLine="480" w:firstLineChars="200"/>
        <w:rPr>
          <w:rFonts w:ascii="宋体" w:hAnsi="宋体"/>
          <w:color w:val="000000"/>
          <w:kern w:val="0"/>
        </w:rPr>
      </w:pPr>
      <w:r>
        <w:rPr>
          <w:rFonts w:hint="eastAsia" w:ascii="宋体" w:hAnsi="宋体"/>
          <w:color w:val="000000"/>
          <w:kern w:val="0"/>
        </w:rPr>
        <w:t>7.木质商品包装的原料应来源于可持续性森林。</w:t>
      </w:r>
    </w:p>
    <w:p>
      <w:pPr>
        <w:widowControl/>
        <w:wordWrap w:val="0"/>
        <w:spacing w:line="440" w:lineRule="exact"/>
        <w:ind w:firstLine="480" w:firstLineChars="200"/>
        <w:rPr>
          <w:rFonts w:ascii="宋体" w:hAnsi="宋体"/>
          <w:color w:val="000000"/>
          <w:kern w:val="0"/>
        </w:rPr>
      </w:pPr>
    </w:p>
    <w:p>
      <w:pPr>
        <w:widowControl/>
        <w:wordWrap w:val="0"/>
        <w:spacing w:line="440" w:lineRule="exact"/>
        <w:ind w:firstLine="480" w:firstLineChars="200"/>
        <w:rPr>
          <w:rFonts w:ascii="宋体" w:hAnsi="宋体"/>
          <w:color w:val="000000"/>
          <w:kern w:val="0"/>
        </w:rPr>
      </w:pPr>
    </w:p>
    <w:p>
      <w:pPr>
        <w:widowControl/>
        <w:wordWrap w:val="0"/>
        <w:spacing w:line="440" w:lineRule="exact"/>
        <w:ind w:firstLine="480" w:firstLineChars="200"/>
        <w:rPr>
          <w:rFonts w:ascii="宋体" w:hAnsi="宋体"/>
          <w:color w:val="000000"/>
          <w:kern w:val="0"/>
        </w:rPr>
      </w:pPr>
    </w:p>
    <w:p>
      <w:pPr>
        <w:widowControl/>
        <w:wordWrap w:val="0"/>
        <w:spacing w:line="440" w:lineRule="exact"/>
        <w:ind w:firstLine="480" w:firstLineChars="200"/>
        <w:rPr>
          <w:rFonts w:ascii="宋体" w:hAnsi="宋体"/>
          <w:color w:val="000000"/>
          <w:kern w:val="0"/>
        </w:rPr>
      </w:pPr>
    </w:p>
    <w:p>
      <w:pPr>
        <w:pStyle w:val="26"/>
        <w:ind w:firstLine="480"/>
      </w:pPr>
    </w:p>
    <w:p>
      <w:pPr>
        <w:pStyle w:val="26"/>
        <w:ind w:firstLine="480"/>
      </w:pPr>
    </w:p>
    <w:p>
      <w:pPr>
        <w:pStyle w:val="26"/>
        <w:ind w:firstLine="480"/>
      </w:pPr>
    </w:p>
    <w:p>
      <w:pPr>
        <w:pStyle w:val="26"/>
        <w:ind w:firstLine="480"/>
      </w:pPr>
    </w:p>
    <w:p>
      <w:pPr>
        <w:pStyle w:val="26"/>
        <w:ind w:firstLine="480"/>
      </w:pPr>
    </w:p>
    <w:p>
      <w:pPr>
        <w:widowControl/>
        <w:wordWrap w:val="0"/>
        <w:spacing w:line="440" w:lineRule="exact"/>
        <w:ind w:firstLine="480" w:firstLineChars="200"/>
        <w:rPr>
          <w:rFonts w:ascii="宋体" w:hAnsi="宋体"/>
          <w:color w:val="000000"/>
          <w:kern w:val="0"/>
        </w:rPr>
      </w:pPr>
    </w:p>
    <w:p>
      <w:pPr>
        <w:widowControl/>
        <w:wordWrap w:val="0"/>
        <w:spacing w:line="440" w:lineRule="exact"/>
        <w:ind w:firstLine="480" w:firstLineChars="200"/>
        <w:rPr>
          <w:rFonts w:ascii="宋体" w:hAnsi="宋体"/>
          <w:color w:val="000000"/>
          <w:kern w:val="0"/>
        </w:rPr>
      </w:pPr>
    </w:p>
    <w:p>
      <w:pPr>
        <w:pStyle w:val="34"/>
        <w:ind w:firstLine="280"/>
      </w:pPr>
    </w:p>
    <w:p>
      <w:pPr>
        <w:pStyle w:val="35"/>
        <w:ind w:left="480" w:firstLine="560"/>
      </w:pPr>
    </w:p>
    <w:p/>
    <w:p>
      <w:pPr>
        <w:widowControl/>
        <w:numPr>
          <w:ilvl w:val="3"/>
          <w:numId w:val="40"/>
        </w:numPr>
        <w:adjustRightInd w:val="0"/>
        <w:snapToGrid w:val="0"/>
        <w:spacing w:line="400" w:lineRule="exact"/>
        <w:rPr>
          <w:rFonts w:ascii="宋体" w:hAnsi="宋体"/>
          <w:b/>
          <w:color w:val="000000"/>
          <w:kern w:val="0"/>
          <w:sz w:val="32"/>
          <w:szCs w:val="32"/>
        </w:rPr>
      </w:pPr>
      <w:r>
        <w:rPr>
          <w:rFonts w:hint="eastAsia" w:ascii="宋体" w:hAnsi="宋体"/>
          <w:b/>
          <w:color w:val="000000"/>
          <w:kern w:val="0"/>
          <w:sz w:val="32"/>
          <w:szCs w:val="32"/>
        </w:rPr>
        <w:t>采购内容及技术要求</w:t>
      </w:r>
    </w:p>
    <w:p>
      <w:pPr>
        <w:spacing w:line="400" w:lineRule="exact"/>
        <w:rPr>
          <w:rFonts w:ascii="宋体" w:hAnsi="宋体"/>
        </w:rPr>
      </w:pPr>
      <w:r>
        <w:rPr>
          <w:rFonts w:hint="eastAsia" w:ascii="宋体" w:hAnsi="宋体"/>
          <w:szCs w:val="21"/>
        </w:rPr>
        <w:t>本项目的核心产品为：</w:t>
      </w:r>
      <w:r>
        <w:rPr>
          <w:rFonts w:hint="eastAsia" w:ascii="宋体" w:hAnsi="宋体"/>
          <w:szCs w:val="21"/>
          <w:u w:val="single"/>
        </w:rPr>
        <w:t xml:space="preserve">  荧光定量PCR仪  </w:t>
      </w:r>
      <w:r>
        <w:rPr>
          <w:rFonts w:hint="eastAsia" w:ascii="宋体" w:hAnsi="宋体"/>
          <w:szCs w:val="21"/>
        </w:rPr>
        <w:t>（核心产品仅适用于本项目</w:t>
      </w:r>
      <w:r>
        <w:rPr>
          <w:rFonts w:hint="eastAsia" w:ascii="宋体" w:hAnsi="宋体"/>
          <w:bCs/>
          <w:szCs w:val="21"/>
        </w:rPr>
        <w:t>同一品牌的认定，同一品牌的认定详见投标人须知</w:t>
      </w:r>
      <w:r>
        <w:rPr>
          <w:rFonts w:hint="eastAsia" w:ascii="宋体" w:hAnsi="宋体"/>
          <w:szCs w:val="21"/>
        </w:rPr>
        <w:t>）</w:t>
      </w:r>
    </w:p>
    <w:tbl>
      <w:tblPr>
        <w:tblStyle w:val="36"/>
        <w:tblW w:w="9916" w:type="dxa"/>
        <w:tblInd w:w="-203" w:type="dxa"/>
        <w:tblLayout w:type="fixed"/>
        <w:tblCellMar>
          <w:top w:w="0" w:type="dxa"/>
          <w:left w:w="0" w:type="dxa"/>
          <w:bottom w:w="0" w:type="dxa"/>
          <w:right w:w="0" w:type="dxa"/>
        </w:tblCellMar>
      </w:tblPr>
      <w:tblGrid>
        <w:gridCol w:w="711"/>
        <w:gridCol w:w="435"/>
        <w:gridCol w:w="735"/>
        <w:gridCol w:w="605"/>
        <w:gridCol w:w="7430"/>
      </w:tblGrid>
      <w:tr>
        <w:tblPrEx>
          <w:tblCellMar>
            <w:top w:w="0" w:type="dxa"/>
            <w:left w:w="0" w:type="dxa"/>
            <w:bottom w:w="0" w:type="dxa"/>
            <w:right w:w="0" w:type="dxa"/>
          </w:tblCellMar>
        </w:tblPrEx>
        <w:trPr>
          <w:trHeight w:val="450" w:hRule="atLeast"/>
        </w:trPr>
        <w:tc>
          <w:tcPr>
            <w:tcW w:w="7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b/>
                <w:color w:val="000000"/>
                <w:sz w:val="21"/>
                <w:szCs w:val="21"/>
              </w:rPr>
            </w:pPr>
            <w:r>
              <w:rPr>
                <w:rFonts w:hint="eastAsia" w:ascii="宋体" w:hAnsi="宋体"/>
                <w:b/>
                <w:color w:val="000000"/>
                <w:kern w:val="0"/>
                <w:sz w:val="21"/>
                <w:szCs w:val="21"/>
              </w:rPr>
              <w:t>功能</w:t>
            </w:r>
          </w:p>
        </w:tc>
        <w:tc>
          <w:tcPr>
            <w:tcW w:w="4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b/>
                <w:color w:val="000000"/>
                <w:sz w:val="21"/>
                <w:szCs w:val="21"/>
              </w:rPr>
            </w:pPr>
            <w:r>
              <w:rPr>
                <w:rFonts w:hint="eastAsia" w:ascii="宋体" w:hAnsi="宋体"/>
                <w:b/>
                <w:color w:val="000000"/>
                <w:kern w:val="0"/>
                <w:sz w:val="21"/>
                <w:szCs w:val="21"/>
              </w:rPr>
              <w:t>序号</w:t>
            </w:r>
          </w:p>
        </w:tc>
        <w:tc>
          <w:tcPr>
            <w:tcW w:w="7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b/>
                <w:color w:val="000000"/>
                <w:sz w:val="21"/>
                <w:szCs w:val="21"/>
              </w:rPr>
            </w:pPr>
            <w:r>
              <w:rPr>
                <w:rFonts w:hint="eastAsia" w:ascii="宋体" w:hAnsi="宋体"/>
                <w:b/>
                <w:color w:val="000000"/>
                <w:kern w:val="0"/>
                <w:sz w:val="21"/>
                <w:szCs w:val="21"/>
              </w:rPr>
              <w:t>产品名称</w:t>
            </w:r>
          </w:p>
        </w:tc>
        <w:tc>
          <w:tcPr>
            <w:tcW w:w="60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b/>
                <w:color w:val="000000"/>
                <w:sz w:val="21"/>
                <w:szCs w:val="21"/>
              </w:rPr>
            </w:pPr>
            <w:r>
              <w:rPr>
                <w:rFonts w:hint="eastAsia" w:ascii="宋体" w:hAnsi="宋体"/>
                <w:b/>
                <w:color w:val="000000"/>
                <w:kern w:val="0"/>
                <w:sz w:val="21"/>
                <w:szCs w:val="21"/>
              </w:rPr>
              <w:t>数量/单位</w:t>
            </w:r>
          </w:p>
        </w:tc>
        <w:tc>
          <w:tcPr>
            <w:tcW w:w="743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b/>
                <w:color w:val="000000"/>
                <w:sz w:val="21"/>
                <w:szCs w:val="21"/>
              </w:rPr>
            </w:pPr>
            <w:r>
              <w:rPr>
                <w:rFonts w:hint="eastAsia" w:ascii="宋体" w:hAnsi="宋体"/>
                <w:b/>
                <w:color w:val="000000"/>
                <w:kern w:val="0"/>
                <w:sz w:val="21"/>
                <w:szCs w:val="21"/>
              </w:rPr>
              <w:t>产品参数</w:t>
            </w:r>
          </w:p>
        </w:tc>
      </w:tr>
      <w:tr>
        <w:tblPrEx>
          <w:tblCellMar>
            <w:top w:w="0" w:type="dxa"/>
            <w:left w:w="0" w:type="dxa"/>
            <w:bottom w:w="0" w:type="dxa"/>
            <w:right w:w="0" w:type="dxa"/>
          </w:tblCellMar>
        </w:tblPrEx>
        <w:trPr>
          <w:trHeight w:val="3842" w:hRule="atLeast"/>
        </w:trPr>
        <w:tc>
          <w:tcPr>
            <w:tcW w:w="711"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b/>
                <w:color w:val="000000"/>
                <w:sz w:val="21"/>
                <w:szCs w:val="21"/>
              </w:rPr>
            </w:pPr>
            <w:r>
              <w:rPr>
                <w:rFonts w:hint="eastAsia" w:ascii="宋体" w:hAnsi="宋体"/>
                <w:b/>
                <w:color w:val="000000"/>
                <w:kern w:val="0"/>
                <w:sz w:val="21"/>
                <w:szCs w:val="21"/>
              </w:rPr>
              <w:t>试剂制备区</w:t>
            </w:r>
          </w:p>
        </w:tc>
        <w:tc>
          <w:tcPr>
            <w:tcW w:w="4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olor w:val="000000"/>
                <w:sz w:val="21"/>
                <w:szCs w:val="21"/>
              </w:rPr>
            </w:pPr>
            <w:r>
              <w:rPr>
                <w:rFonts w:hint="eastAsia" w:ascii="宋体" w:hAnsi="宋体"/>
                <w:color w:val="000000"/>
                <w:kern w:val="0"/>
                <w:sz w:val="21"/>
                <w:szCs w:val="21"/>
              </w:rPr>
              <w:t>1</w:t>
            </w:r>
          </w:p>
        </w:tc>
        <w:tc>
          <w:tcPr>
            <w:tcW w:w="7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olor w:val="000000"/>
                <w:sz w:val="21"/>
                <w:szCs w:val="21"/>
              </w:rPr>
            </w:pPr>
            <w:r>
              <w:rPr>
                <w:rFonts w:hint="eastAsia" w:ascii="宋体" w:hAnsi="宋体"/>
                <w:color w:val="000000"/>
                <w:kern w:val="0"/>
                <w:sz w:val="21"/>
                <w:szCs w:val="21"/>
              </w:rPr>
              <w:t>洁净工作台</w:t>
            </w:r>
          </w:p>
        </w:tc>
        <w:tc>
          <w:tcPr>
            <w:tcW w:w="60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olor w:val="000000"/>
                <w:sz w:val="21"/>
                <w:szCs w:val="21"/>
              </w:rPr>
            </w:pPr>
            <w:r>
              <w:rPr>
                <w:rFonts w:hint="eastAsia" w:ascii="宋体" w:hAnsi="宋体"/>
                <w:color w:val="000000"/>
                <w:kern w:val="0"/>
                <w:sz w:val="21"/>
                <w:szCs w:val="21"/>
              </w:rPr>
              <w:t>1台</w:t>
            </w:r>
          </w:p>
        </w:tc>
        <w:tc>
          <w:tcPr>
            <w:tcW w:w="743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宋体" w:hAnsi="宋体"/>
                <w:color w:val="000000"/>
                <w:sz w:val="21"/>
                <w:szCs w:val="21"/>
              </w:rPr>
            </w:pPr>
            <w:r>
              <w:rPr>
                <w:rFonts w:hint="eastAsia" w:ascii="宋体" w:hAnsi="宋体"/>
                <w:color w:val="000000"/>
                <w:kern w:val="0"/>
                <w:sz w:val="21"/>
                <w:szCs w:val="21"/>
              </w:rPr>
              <w:t>1、洁净等级：ISO 5级（ISO Class 5），100级（等于或不低于美联邦209E）Class 100（Fed 209E）</w:t>
            </w:r>
            <w:r>
              <w:rPr>
                <w:rFonts w:hint="eastAsia" w:ascii="宋体" w:hAnsi="宋体"/>
                <w:color w:val="000000"/>
                <w:kern w:val="0"/>
                <w:sz w:val="21"/>
                <w:szCs w:val="21"/>
              </w:rPr>
              <w:br w:type="textWrapping"/>
            </w:r>
            <w:r>
              <w:rPr>
                <w:rFonts w:hint="eastAsia" w:ascii="宋体" w:hAnsi="宋体"/>
                <w:color w:val="000000"/>
                <w:kern w:val="0"/>
                <w:sz w:val="21"/>
                <w:szCs w:val="21"/>
              </w:rPr>
              <w:t>2、平均风速：≥0.3m/s（三档可调）</w:t>
            </w:r>
            <w:r>
              <w:rPr>
                <w:rFonts w:hint="eastAsia" w:ascii="宋体" w:hAnsi="宋体"/>
                <w:color w:val="000000"/>
                <w:kern w:val="0"/>
                <w:sz w:val="21"/>
                <w:szCs w:val="21"/>
              </w:rPr>
              <w:br w:type="textWrapping"/>
            </w:r>
            <w:r>
              <w:rPr>
                <w:rFonts w:hint="eastAsia" w:ascii="宋体" w:hAnsi="宋体"/>
                <w:color w:val="000000"/>
                <w:kern w:val="0"/>
                <w:sz w:val="21"/>
                <w:szCs w:val="21"/>
              </w:rPr>
              <w:t>3、噪声：≤62Db(A)</w:t>
            </w:r>
            <w:r>
              <w:rPr>
                <w:rFonts w:hint="eastAsia" w:ascii="宋体" w:hAnsi="宋体"/>
                <w:color w:val="000000"/>
                <w:kern w:val="0"/>
                <w:sz w:val="21"/>
                <w:szCs w:val="21"/>
              </w:rPr>
              <w:br w:type="textWrapping"/>
            </w:r>
            <w:r>
              <w:rPr>
                <w:rFonts w:hint="eastAsia" w:ascii="宋体" w:hAnsi="宋体"/>
                <w:color w:val="000000"/>
                <w:kern w:val="0"/>
                <w:sz w:val="21"/>
                <w:szCs w:val="21"/>
              </w:rPr>
              <w:t>4、照度：≥300Lx</w:t>
            </w:r>
            <w:r>
              <w:rPr>
                <w:rFonts w:hint="eastAsia" w:ascii="宋体" w:hAnsi="宋体"/>
                <w:color w:val="000000"/>
                <w:kern w:val="0"/>
                <w:sz w:val="21"/>
                <w:szCs w:val="21"/>
              </w:rPr>
              <w:br w:type="textWrapping"/>
            </w:r>
            <w:r>
              <w:rPr>
                <w:rFonts w:hint="eastAsia" w:ascii="宋体" w:hAnsi="宋体"/>
                <w:color w:val="000000"/>
                <w:kern w:val="0"/>
                <w:sz w:val="21"/>
                <w:szCs w:val="21"/>
              </w:rPr>
              <w:t>5、输出功率：500W，重量170KG</w:t>
            </w:r>
            <w:r>
              <w:rPr>
                <w:rFonts w:hint="eastAsia" w:ascii="宋体" w:hAnsi="宋体"/>
                <w:color w:val="000000"/>
                <w:kern w:val="0"/>
                <w:sz w:val="21"/>
                <w:szCs w:val="21"/>
              </w:rPr>
              <w:br w:type="textWrapping"/>
            </w:r>
            <w:r>
              <w:rPr>
                <w:rFonts w:hint="eastAsia" w:ascii="宋体" w:hAnsi="宋体"/>
                <w:color w:val="000000"/>
                <w:kern w:val="0"/>
                <w:sz w:val="21"/>
                <w:szCs w:val="21"/>
              </w:rPr>
              <w:t>6、工作区尺寸：1360×690×520 mm</w:t>
            </w:r>
            <w:r>
              <w:rPr>
                <w:rFonts w:hint="eastAsia" w:ascii="宋体" w:hAnsi="宋体"/>
                <w:color w:val="000000"/>
                <w:kern w:val="0"/>
                <w:sz w:val="21"/>
                <w:szCs w:val="21"/>
              </w:rPr>
              <w:br w:type="textWrapping"/>
            </w:r>
            <w:r>
              <w:rPr>
                <w:rFonts w:hint="eastAsia" w:ascii="宋体" w:hAnsi="宋体"/>
                <w:color w:val="000000"/>
                <w:kern w:val="0"/>
                <w:sz w:val="21"/>
                <w:szCs w:val="21"/>
              </w:rPr>
              <w:t>7、装置外形尺寸：1500×730×1600mm</w:t>
            </w:r>
            <w:r>
              <w:rPr>
                <w:rFonts w:hint="eastAsia" w:ascii="宋体" w:hAnsi="宋体"/>
                <w:color w:val="000000"/>
                <w:kern w:val="0"/>
                <w:sz w:val="21"/>
                <w:szCs w:val="21"/>
              </w:rPr>
              <w:br w:type="textWrapping"/>
            </w:r>
            <w:r>
              <w:rPr>
                <w:rFonts w:hint="eastAsia" w:ascii="宋体" w:hAnsi="宋体"/>
                <w:color w:val="000000"/>
                <w:kern w:val="0"/>
                <w:sz w:val="21"/>
                <w:szCs w:val="21"/>
              </w:rPr>
              <w:t>8、LED荧光灯/紫外灯规格及数量：7W×2/8W×2</w:t>
            </w:r>
            <w:r>
              <w:rPr>
                <w:rFonts w:hint="eastAsia" w:ascii="宋体" w:hAnsi="宋体"/>
                <w:color w:val="000000"/>
                <w:kern w:val="0"/>
                <w:sz w:val="21"/>
                <w:szCs w:val="21"/>
              </w:rPr>
              <w:br w:type="textWrapping"/>
            </w:r>
            <w:r>
              <w:rPr>
                <w:rFonts w:hint="eastAsia" w:ascii="宋体" w:hAnsi="宋体"/>
                <w:color w:val="000000"/>
                <w:kern w:val="0"/>
                <w:sz w:val="21"/>
                <w:szCs w:val="21"/>
              </w:rPr>
              <w:t>9、过滤效率：对于0.3μm的尘埃颗粒捕集效率≥99.995%，确保达到洁净度ISO5级(100级)</w:t>
            </w:r>
            <w:r>
              <w:rPr>
                <w:rFonts w:hint="eastAsia" w:ascii="宋体" w:hAnsi="宋体"/>
                <w:color w:val="000000"/>
                <w:kern w:val="0"/>
                <w:sz w:val="21"/>
                <w:szCs w:val="21"/>
              </w:rPr>
              <w:br w:type="textWrapping"/>
            </w:r>
            <w:r>
              <w:rPr>
                <w:rFonts w:hint="eastAsia" w:ascii="宋体" w:hAnsi="宋体"/>
                <w:color w:val="000000"/>
                <w:kern w:val="0"/>
                <w:sz w:val="21"/>
                <w:szCs w:val="21"/>
              </w:rPr>
              <w:t>10、可任意设置紫外灯预约开启时间和关闭时间，照明和杀菌系统安全互锁</w:t>
            </w:r>
          </w:p>
        </w:tc>
      </w:tr>
      <w:tr>
        <w:tblPrEx>
          <w:tblCellMar>
            <w:top w:w="0" w:type="dxa"/>
            <w:left w:w="0" w:type="dxa"/>
            <w:bottom w:w="0" w:type="dxa"/>
            <w:right w:w="0" w:type="dxa"/>
          </w:tblCellMar>
        </w:tblPrEx>
        <w:trPr>
          <w:trHeight w:val="4285" w:hRule="atLeast"/>
        </w:trPr>
        <w:tc>
          <w:tcPr>
            <w:tcW w:w="711"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hAnsi="宋体"/>
                <w:b/>
                <w:color w:val="000000"/>
                <w:sz w:val="21"/>
                <w:szCs w:val="21"/>
              </w:rPr>
            </w:pPr>
          </w:p>
        </w:tc>
        <w:tc>
          <w:tcPr>
            <w:tcW w:w="4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olor w:val="000000"/>
                <w:sz w:val="21"/>
                <w:szCs w:val="21"/>
              </w:rPr>
            </w:pPr>
            <w:r>
              <w:rPr>
                <w:rFonts w:hint="eastAsia" w:ascii="宋体" w:hAnsi="宋体"/>
                <w:color w:val="000000"/>
                <w:kern w:val="0"/>
                <w:sz w:val="21"/>
                <w:szCs w:val="21"/>
              </w:rPr>
              <w:t>2</w:t>
            </w:r>
          </w:p>
        </w:tc>
        <w:tc>
          <w:tcPr>
            <w:tcW w:w="7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olor w:val="000000"/>
                <w:sz w:val="21"/>
                <w:szCs w:val="21"/>
              </w:rPr>
            </w:pPr>
            <w:r>
              <w:rPr>
                <w:rFonts w:hint="eastAsia" w:ascii="宋体" w:hAnsi="宋体"/>
                <w:color w:val="000000"/>
                <w:kern w:val="0"/>
                <w:sz w:val="21"/>
                <w:szCs w:val="21"/>
              </w:rPr>
              <w:t>涡旋振荡器</w:t>
            </w:r>
          </w:p>
        </w:tc>
        <w:tc>
          <w:tcPr>
            <w:tcW w:w="60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olor w:val="000000"/>
                <w:sz w:val="21"/>
                <w:szCs w:val="21"/>
              </w:rPr>
            </w:pPr>
            <w:r>
              <w:rPr>
                <w:rFonts w:hint="eastAsia" w:ascii="宋体" w:hAnsi="宋体"/>
                <w:color w:val="000000"/>
                <w:kern w:val="0"/>
                <w:sz w:val="21"/>
                <w:szCs w:val="21"/>
              </w:rPr>
              <w:t>2台</w:t>
            </w:r>
          </w:p>
        </w:tc>
        <w:tc>
          <w:tcPr>
            <w:tcW w:w="743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宋体" w:hAnsi="宋体"/>
                <w:color w:val="000000"/>
                <w:sz w:val="21"/>
                <w:szCs w:val="21"/>
              </w:rPr>
            </w:pPr>
            <w:r>
              <w:rPr>
                <w:rFonts w:hint="eastAsia" w:ascii="宋体" w:hAnsi="宋体"/>
                <w:color w:val="000000"/>
                <w:kern w:val="0"/>
                <w:sz w:val="21"/>
                <w:szCs w:val="21"/>
              </w:rPr>
              <w:t xml:space="preserve">1. 技术指标要求 </w:t>
            </w:r>
            <w:r>
              <w:rPr>
                <w:rFonts w:hint="eastAsia" w:ascii="宋体" w:hAnsi="宋体"/>
                <w:color w:val="000000"/>
                <w:kern w:val="0"/>
                <w:sz w:val="21"/>
                <w:szCs w:val="21"/>
              </w:rPr>
              <w:br w:type="textWrapping"/>
            </w:r>
            <w:r>
              <w:rPr>
                <w:rFonts w:hint="eastAsia" w:ascii="宋体" w:hAnsi="宋体"/>
                <w:color w:val="000000"/>
                <w:kern w:val="0"/>
                <w:sz w:val="21"/>
                <w:szCs w:val="21"/>
              </w:rPr>
              <w:t>1.1 工作条件</w:t>
            </w:r>
            <w:r>
              <w:rPr>
                <w:rFonts w:hint="eastAsia" w:ascii="宋体" w:hAnsi="宋体"/>
                <w:color w:val="000000"/>
                <w:kern w:val="0"/>
                <w:sz w:val="21"/>
                <w:szCs w:val="21"/>
              </w:rPr>
              <w:br w:type="textWrapping"/>
            </w:r>
            <w:r>
              <w:rPr>
                <w:rFonts w:hint="eastAsia" w:ascii="宋体" w:hAnsi="宋体"/>
                <w:color w:val="000000"/>
                <w:kern w:val="0"/>
                <w:sz w:val="21"/>
                <w:szCs w:val="21"/>
              </w:rPr>
              <w:t>1.1.1  使用环境温度：5℃～45℃</w:t>
            </w:r>
            <w:r>
              <w:rPr>
                <w:rFonts w:hint="eastAsia" w:ascii="宋体" w:hAnsi="宋体"/>
                <w:color w:val="000000"/>
                <w:kern w:val="0"/>
                <w:sz w:val="21"/>
                <w:szCs w:val="21"/>
              </w:rPr>
              <w:br w:type="textWrapping"/>
            </w:r>
            <w:r>
              <w:rPr>
                <w:rFonts w:hint="eastAsia" w:ascii="宋体" w:hAnsi="宋体"/>
                <w:color w:val="000000"/>
                <w:kern w:val="0"/>
                <w:sz w:val="21"/>
                <w:szCs w:val="21"/>
              </w:rPr>
              <w:t>1.1.2  相对湿度：≤70%</w:t>
            </w:r>
            <w:r>
              <w:rPr>
                <w:rFonts w:hint="eastAsia" w:ascii="宋体" w:hAnsi="宋体"/>
                <w:color w:val="000000"/>
                <w:kern w:val="0"/>
                <w:sz w:val="21"/>
                <w:szCs w:val="21"/>
              </w:rPr>
              <w:br w:type="textWrapping"/>
            </w:r>
            <w:r>
              <w:rPr>
                <w:rFonts w:hint="eastAsia" w:ascii="宋体" w:hAnsi="宋体"/>
                <w:color w:val="000000"/>
                <w:kern w:val="0"/>
                <w:sz w:val="21"/>
                <w:szCs w:val="21"/>
              </w:rPr>
              <w:t xml:space="preserve">1.1.3  使用电源：AC100-240V  1.5A </w:t>
            </w:r>
            <w:r>
              <w:rPr>
                <w:rFonts w:hint="eastAsia" w:ascii="宋体" w:hAnsi="宋体"/>
                <w:color w:val="000000"/>
                <w:kern w:val="0"/>
                <w:sz w:val="21"/>
                <w:szCs w:val="21"/>
              </w:rPr>
              <w:br w:type="textWrapping"/>
            </w:r>
            <w:r>
              <w:rPr>
                <w:rFonts w:hint="eastAsia" w:ascii="宋体" w:hAnsi="宋体"/>
                <w:color w:val="000000"/>
                <w:kern w:val="0"/>
                <w:sz w:val="21"/>
                <w:szCs w:val="21"/>
              </w:rPr>
              <w:t>1.2 仪器用途</w:t>
            </w:r>
            <w:r>
              <w:rPr>
                <w:rFonts w:hint="eastAsia" w:ascii="宋体" w:hAnsi="宋体"/>
                <w:color w:val="000000"/>
                <w:kern w:val="0"/>
                <w:sz w:val="21"/>
                <w:szCs w:val="21"/>
              </w:rPr>
              <w:br w:type="textWrapping"/>
            </w:r>
            <w:r>
              <w:rPr>
                <w:rFonts w:hint="eastAsia" w:ascii="宋体" w:hAnsi="宋体"/>
                <w:color w:val="000000"/>
                <w:kern w:val="0"/>
                <w:sz w:val="21"/>
                <w:szCs w:val="21"/>
              </w:rPr>
              <w:t xml:space="preserve">多管涡旋混合仪，一次最多同时处理50个样品，可选配多种配件，满足不同规格试管旋涡混合的需求。 </w:t>
            </w:r>
            <w:r>
              <w:rPr>
                <w:rFonts w:hint="eastAsia" w:ascii="宋体" w:hAnsi="宋体"/>
                <w:color w:val="000000"/>
                <w:kern w:val="0"/>
                <w:sz w:val="21"/>
                <w:szCs w:val="21"/>
              </w:rPr>
              <w:br w:type="textWrapping"/>
            </w:r>
            <w:r>
              <w:rPr>
                <w:rFonts w:hint="eastAsia" w:ascii="宋体" w:hAnsi="宋体"/>
                <w:color w:val="000000"/>
                <w:kern w:val="0"/>
                <w:sz w:val="21"/>
                <w:szCs w:val="21"/>
              </w:rPr>
              <w:t>1.3 配置清单</w:t>
            </w:r>
            <w:r>
              <w:rPr>
                <w:rFonts w:hint="eastAsia" w:ascii="宋体" w:hAnsi="宋体"/>
                <w:color w:val="000000"/>
                <w:kern w:val="0"/>
                <w:sz w:val="21"/>
                <w:szCs w:val="21"/>
              </w:rPr>
              <w:br w:type="textWrapping"/>
            </w:r>
            <w:r>
              <w:rPr>
                <w:rFonts w:hint="eastAsia" w:ascii="宋体" w:hAnsi="宋体"/>
                <w:color w:val="000000"/>
                <w:kern w:val="0"/>
                <w:sz w:val="21"/>
                <w:szCs w:val="21"/>
              </w:rPr>
              <w:t>1.3.1  多管涡旋混合仪主机，1台； 1.3.2  自选海绵试管架，1个；</w:t>
            </w:r>
            <w:r>
              <w:rPr>
                <w:rFonts w:hint="eastAsia" w:ascii="宋体" w:hAnsi="宋体"/>
                <w:color w:val="000000"/>
                <w:kern w:val="0"/>
                <w:sz w:val="21"/>
                <w:szCs w:val="21"/>
              </w:rPr>
              <w:br w:type="textWrapping"/>
            </w:r>
            <w:r>
              <w:rPr>
                <w:rFonts w:hint="eastAsia" w:ascii="宋体" w:hAnsi="宋体"/>
                <w:color w:val="000000"/>
                <w:kern w:val="0"/>
                <w:sz w:val="21"/>
                <w:szCs w:val="21"/>
              </w:rPr>
              <w:t>1.3.3  电源线，1根；</w:t>
            </w:r>
            <w:r>
              <w:rPr>
                <w:rFonts w:hint="eastAsia" w:ascii="宋体" w:hAnsi="宋体"/>
                <w:color w:val="000000"/>
                <w:kern w:val="0"/>
                <w:sz w:val="21"/>
                <w:szCs w:val="21"/>
              </w:rPr>
              <w:br w:type="textWrapping"/>
            </w:r>
            <w:r>
              <w:rPr>
                <w:rFonts w:hint="eastAsia" w:ascii="宋体" w:hAnsi="宋体"/>
                <w:color w:val="000000"/>
                <w:kern w:val="0"/>
                <w:sz w:val="21"/>
                <w:szCs w:val="21"/>
              </w:rPr>
              <w:t xml:space="preserve">1.4 技术参数  </w:t>
            </w:r>
            <w:r>
              <w:rPr>
                <w:rFonts w:hint="eastAsia" w:ascii="宋体" w:hAnsi="宋体"/>
                <w:color w:val="000000"/>
                <w:kern w:val="0"/>
                <w:sz w:val="21"/>
                <w:szCs w:val="21"/>
              </w:rPr>
              <w:br w:type="textWrapping"/>
            </w:r>
            <w:r>
              <w:rPr>
                <w:rFonts w:hint="eastAsia" w:ascii="宋体" w:hAnsi="宋体"/>
                <w:color w:val="000000"/>
                <w:kern w:val="0"/>
                <w:sz w:val="21"/>
                <w:szCs w:val="21"/>
              </w:rPr>
              <w:t xml:space="preserve">1.4.1  周转直径：3.6mm </w:t>
            </w:r>
            <w:r>
              <w:rPr>
                <w:rFonts w:hint="eastAsia" w:ascii="宋体" w:hAnsi="宋体"/>
                <w:color w:val="000000"/>
                <w:kern w:val="0"/>
                <w:sz w:val="21"/>
                <w:szCs w:val="21"/>
              </w:rPr>
              <w:br w:type="textWrapping"/>
            </w:r>
            <w:r>
              <w:rPr>
                <w:rFonts w:hint="eastAsia" w:ascii="宋体" w:hAnsi="宋体"/>
                <w:color w:val="000000"/>
                <w:kern w:val="0"/>
                <w:sz w:val="21"/>
                <w:szCs w:val="21"/>
              </w:rPr>
              <w:t xml:space="preserve">1.4.2  调速范围：500-2500rpm </w:t>
            </w:r>
            <w:r>
              <w:rPr>
                <w:rFonts w:hint="eastAsia" w:ascii="宋体" w:hAnsi="宋体"/>
                <w:color w:val="000000"/>
                <w:kern w:val="0"/>
                <w:sz w:val="21"/>
                <w:szCs w:val="21"/>
              </w:rPr>
              <w:br w:type="textWrapping"/>
            </w:r>
            <w:r>
              <w:rPr>
                <w:rFonts w:hint="eastAsia" w:ascii="宋体" w:hAnsi="宋体"/>
                <w:color w:val="000000"/>
                <w:kern w:val="0"/>
                <w:sz w:val="21"/>
                <w:szCs w:val="21"/>
              </w:rPr>
              <w:t>1.4.3  调速精度： 10rpm</w:t>
            </w:r>
            <w:r>
              <w:rPr>
                <w:rFonts w:hint="eastAsia" w:ascii="宋体" w:hAnsi="宋体"/>
                <w:color w:val="000000"/>
                <w:kern w:val="0"/>
                <w:sz w:val="21"/>
                <w:szCs w:val="21"/>
              </w:rPr>
              <w:br w:type="textWrapping"/>
            </w:r>
            <w:r>
              <w:rPr>
                <w:rFonts w:hint="eastAsia" w:ascii="宋体" w:hAnsi="宋体"/>
                <w:color w:val="000000"/>
                <w:kern w:val="0"/>
                <w:sz w:val="21"/>
                <w:szCs w:val="21"/>
              </w:rPr>
              <w:t>1.4.4  定时范围：1min-99h59min</w:t>
            </w:r>
            <w:r>
              <w:rPr>
                <w:rFonts w:hint="eastAsia" w:ascii="宋体" w:hAnsi="宋体"/>
                <w:color w:val="000000"/>
                <w:kern w:val="0"/>
                <w:sz w:val="21"/>
                <w:szCs w:val="21"/>
              </w:rPr>
              <w:br w:type="textWrapping"/>
            </w:r>
            <w:r>
              <w:rPr>
                <w:rFonts w:hint="eastAsia" w:ascii="宋体" w:hAnsi="宋体"/>
                <w:color w:val="000000"/>
                <w:kern w:val="0"/>
                <w:sz w:val="21"/>
                <w:szCs w:val="21"/>
              </w:rPr>
              <w:t xml:space="preserve">1.4.5  最大承重：4.5kg      </w:t>
            </w:r>
            <w:r>
              <w:rPr>
                <w:rFonts w:hint="eastAsia" w:ascii="宋体" w:hAnsi="宋体"/>
                <w:color w:val="000000"/>
                <w:kern w:val="0"/>
                <w:sz w:val="21"/>
                <w:szCs w:val="21"/>
              </w:rPr>
              <w:br w:type="textWrapping"/>
            </w:r>
            <w:r>
              <w:rPr>
                <w:rFonts w:hint="eastAsia" w:ascii="宋体" w:hAnsi="宋体"/>
                <w:color w:val="000000"/>
                <w:kern w:val="0"/>
                <w:sz w:val="21"/>
                <w:szCs w:val="21"/>
              </w:rPr>
              <w:t>1.4.6  顶部面板尺寸(L×W)：310×180mm 1.4.7  功率：60W</w:t>
            </w:r>
            <w:r>
              <w:rPr>
                <w:rFonts w:hint="eastAsia" w:ascii="宋体" w:hAnsi="宋体"/>
                <w:color w:val="000000"/>
                <w:kern w:val="0"/>
                <w:sz w:val="21"/>
                <w:szCs w:val="21"/>
              </w:rPr>
              <w:br w:type="textWrapping"/>
            </w:r>
            <w:r>
              <w:rPr>
                <w:rFonts w:hint="eastAsia" w:ascii="宋体" w:hAnsi="宋体"/>
                <w:color w:val="000000"/>
                <w:kern w:val="0"/>
                <w:sz w:val="21"/>
                <w:szCs w:val="21"/>
              </w:rPr>
              <w:t>1.4.8  两种工作模式：持续工作或点动式</w:t>
            </w:r>
            <w:r>
              <w:rPr>
                <w:rFonts w:hint="eastAsia" w:ascii="宋体" w:hAnsi="宋体"/>
                <w:color w:val="000000"/>
                <w:kern w:val="0"/>
                <w:sz w:val="21"/>
                <w:szCs w:val="21"/>
              </w:rPr>
              <w:br w:type="textWrapping"/>
            </w:r>
            <w:r>
              <w:rPr>
                <w:rFonts w:hint="eastAsia" w:ascii="宋体" w:hAnsi="宋体"/>
                <w:color w:val="000000"/>
                <w:kern w:val="0"/>
                <w:sz w:val="21"/>
                <w:szCs w:val="21"/>
              </w:rPr>
              <w:t xml:space="preserve">  1.4.9  标配12mm泡沫试管架、托盘垫</w:t>
            </w:r>
            <w:r>
              <w:rPr>
                <w:rFonts w:hint="eastAsia" w:ascii="宋体" w:hAnsi="宋体"/>
                <w:color w:val="000000"/>
                <w:kern w:val="0"/>
                <w:sz w:val="21"/>
                <w:szCs w:val="21"/>
              </w:rPr>
              <w:br w:type="textWrapping"/>
            </w:r>
            <w:r>
              <w:rPr>
                <w:rFonts w:hint="eastAsia" w:ascii="宋体" w:hAnsi="宋体"/>
                <w:color w:val="000000"/>
                <w:kern w:val="0"/>
                <w:sz w:val="21"/>
                <w:szCs w:val="21"/>
              </w:rPr>
              <w:t>1.4.10  微处理器精确控制混合的时间和速度</w:t>
            </w:r>
            <w:r>
              <w:rPr>
                <w:rFonts w:hint="eastAsia" w:ascii="宋体" w:hAnsi="宋体"/>
                <w:color w:val="000000"/>
                <w:kern w:val="0"/>
                <w:sz w:val="21"/>
                <w:szCs w:val="21"/>
              </w:rPr>
              <w:br w:type="textWrapping"/>
            </w:r>
            <w:r>
              <w:rPr>
                <w:rFonts w:hint="eastAsia" w:ascii="宋体" w:hAnsi="宋体"/>
                <w:color w:val="000000"/>
                <w:kern w:val="0"/>
                <w:sz w:val="21"/>
                <w:szCs w:val="21"/>
              </w:rPr>
              <w:t>1.4.11  外形尺寸：426×250×480mm</w:t>
            </w:r>
            <w:r>
              <w:rPr>
                <w:rFonts w:hint="eastAsia" w:ascii="宋体" w:hAnsi="宋体"/>
                <w:color w:val="000000"/>
                <w:kern w:val="0"/>
                <w:sz w:val="21"/>
                <w:szCs w:val="21"/>
              </w:rPr>
              <w:br w:type="textWrapping"/>
            </w:r>
            <w:r>
              <w:rPr>
                <w:rFonts w:hint="eastAsia" w:ascii="宋体" w:hAnsi="宋体"/>
                <w:color w:val="000000"/>
                <w:kern w:val="0"/>
                <w:sz w:val="21"/>
                <w:szCs w:val="21"/>
              </w:rPr>
              <w:t>2. 售后服务要求</w:t>
            </w:r>
            <w:r>
              <w:rPr>
                <w:rFonts w:hint="eastAsia" w:ascii="宋体" w:hAnsi="宋体"/>
                <w:color w:val="000000"/>
                <w:kern w:val="0"/>
                <w:sz w:val="21"/>
                <w:szCs w:val="21"/>
              </w:rPr>
              <w:br w:type="textWrapping"/>
            </w:r>
            <w:r>
              <w:rPr>
                <w:rFonts w:hint="eastAsia" w:ascii="宋体" w:hAnsi="宋体"/>
                <w:color w:val="000000"/>
                <w:kern w:val="0"/>
                <w:sz w:val="21"/>
                <w:szCs w:val="21"/>
              </w:rPr>
              <w:t>2.1  安装调试：中标人安排有经验的技术人员负责现场免费安装及调试，并按提供的技术指标及招标文件要求逐项测试设备。</w:t>
            </w:r>
            <w:r>
              <w:rPr>
                <w:rFonts w:hint="eastAsia" w:ascii="宋体" w:hAnsi="宋体"/>
                <w:color w:val="000000"/>
                <w:kern w:val="0"/>
                <w:sz w:val="21"/>
                <w:szCs w:val="21"/>
              </w:rPr>
              <w:br w:type="textWrapping"/>
            </w:r>
            <w:r>
              <w:rPr>
                <w:rFonts w:hint="eastAsia" w:ascii="宋体" w:hAnsi="宋体"/>
                <w:color w:val="000000"/>
                <w:kern w:val="0"/>
                <w:sz w:val="21"/>
                <w:szCs w:val="21"/>
              </w:rPr>
              <w:t>2.2  技术培训：现场培训及免费公司培训。</w:t>
            </w:r>
            <w:r>
              <w:rPr>
                <w:rFonts w:hint="eastAsia" w:ascii="宋体" w:hAnsi="宋体"/>
                <w:color w:val="000000"/>
                <w:kern w:val="0"/>
                <w:sz w:val="21"/>
                <w:szCs w:val="21"/>
              </w:rPr>
              <w:br w:type="textWrapping"/>
            </w:r>
            <w:r>
              <w:rPr>
                <w:rFonts w:hint="eastAsia" w:ascii="宋体" w:hAnsi="宋体"/>
                <w:color w:val="000000"/>
                <w:kern w:val="0"/>
                <w:sz w:val="21"/>
                <w:szCs w:val="21"/>
              </w:rPr>
              <w:t>2.3  售后服务：</w:t>
            </w:r>
            <w:r>
              <w:rPr>
                <w:rFonts w:hint="eastAsia" w:ascii="宋体" w:hAnsi="宋体"/>
                <w:color w:val="000000"/>
                <w:kern w:val="0"/>
                <w:sz w:val="21"/>
                <w:szCs w:val="21"/>
              </w:rPr>
              <w:br w:type="textWrapping"/>
            </w:r>
            <w:r>
              <w:rPr>
                <w:rFonts w:hint="eastAsia" w:ascii="宋体" w:hAnsi="宋体"/>
                <w:color w:val="000000"/>
                <w:kern w:val="0"/>
                <w:sz w:val="21"/>
                <w:szCs w:val="21"/>
              </w:rPr>
              <w:t>2.3.1  本仪器自交货之日起1个月内，对因材料和制造方面的缺陷引起的故障，生产商负责包换。</w:t>
            </w:r>
            <w:r>
              <w:rPr>
                <w:rFonts w:hint="eastAsia" w:ascii="宋体" w:hAnsi="宋体"/>
                <w:color w:val="000000"/>
                <w:kern w:val="0"/>
                <w:sz w:val="21"/>
                <w:szCs w:val="21"/>
              </w:rPr>
              <w:br w:type="textWrapping"/>
            </w:r>
            <w:r>
              <w:rPr>
                <w:rFonts w:hint="eastAsia" w:ascii="宋体" w:hAnsi="宋体"/>
                <w:color w:val="000000"/>
                <w:kern w:val="0"/>
                <w:sz w:val="21"/>
                <w:szCs w:val="21"/>
              </w:rPr>
              <w:t>2.3.2  本仪器自交货之日起12个月内，对因材料和制造方面的缺陷引起的故障提供免费保修。保修期外修理，适当收取成本费，终身维修。</w:t>
            </w:r>
            <w:r>
              <w:rPr>
                <w:rFonts w:hint="eastAsia" w:ascii="宋体" w:hAnsi="宋体"/>
                <w:color w:val="000000"/>
                <w:kern w:val="0"/>
                <w:sz w:val="21"/>
                <w:szCs w:val="21"/>
              </w:rPr>
              <w:br w:type="textWrapping"/>
            </w:r>
            <w:r>
              <w:rPr>
                <w:rFonts w:hint="eastAsia" w:ascii="宋体" w:hAnsi="宋体"/>
                <w:color w:val="000000"/>
                <w:kern w:val="0"/>
                <w:sz w:val="21"/>
                <w:szCs w:val="21"/>
              </w:rPr>
              <w:t>2.3.3  中标人技术人员负责货物的安装、调试、技术培训并提供详细的技术文件：设备出现故障时，在两小时内响应。</w:t>
            </w:r>
          </w:p>
        </w:tc>
      </w:tr>
      <w:tr>
        <w:tblPrEx>
          <w:tblCellMar>
            <w:top w:w="0" w:type="dxa"/>
            <w:left w:w="0" w:type="dxa"/>
            <w:bottom w:w="0" w:type="dxa"/>
            <w:right w:w="0" w:type="dxa"/>
          </w:tblCellMar>
        </w:tblPrEx>
        <w:trPr>
          <w:trHeight w:val="6940" w:hRule="atLeast"/>
        </w:trPr>
        <w:tc>
          <w:tcPr>
            <w:tcW w:w="711"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hAnsi="宋体"/>
                <w:b/>
                <w:color w:val="000000"/>
                <w:sz w:val="21"/>
                <w:szCs w:val="21"/>
              </w:rPr>
            </w:pPr>
          </w:p>
        </w:tc>
        <w:tc>
          <w:tcPr>
            <w:tcW w:w="4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olor w:val="000000"/>
                <w:sz w:val="21"/>
                <w:szCs w:val="21"/>
              </w:rPr>
            </w:pPr>
            <w:r>
              <w:rPr>
                <w:rFonts w:hint="eastAsia" w:ascii="宋体" w:hAnsi="宋体"/>
                <w:color w:val="000000"/>
                <w:kern w:val="0"/>
                <w:sz w:val="21"/>
                <w:szCs w:val="21"/>
              </w:rPr>
              <w:t>3</w:t>
            </w:r>
          </w:p>
        </w:tc>
        <w:tc>
          <w:tcPr>
            <w:tcW w:w="7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olor w:val="000000"/>
                <w:sz w:val="21"/>
                <w:szCs w:val="21"/>
              </w:rPr>
            </w:pPr>
            <w:r>
              <w:rPr>
                <w:rFonts w:hint="eastAsia" w:ascii="宋体" w:hAnsi="宋体"/>
                <w:color w:val="000000"/>
                <w:kern w:val="0"/>
                <w:sz w:val="21"/>
                <w:szCs w:val="21"/>
              </w:rPr>
              <w:t>可移动紫外消毒车</w:t>
            </w:r>
          </w:p>
        </w:tc>
        <w:tc>
          <w:tcPr>
            <w:tcW w:w="60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olor w:val="000000"/>
                <w:sz w:val="21"/>
                <w:szCs w:val="21"/>
              </w:rPr>
            </w:pPr>
            <w:r>
              <w:rPr>
                <w:rFonts w:hint="eastAsia" w:ascii="宋体" w:hAnsi="宋体"/>
                <w:color w:val="000000"/>
                <w:kern w:val="0"/>
                <w:sz w:val="21"/>
                <w:szCs w:val="21"/>
              </w:rPr>
              <w:t>8辆</w:t>
            </w:r>
          </w:p>
        </w:tc>
        <w:tc>
          <w:tcPr>
            <w:tcW w:w="743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20" w:lineRule="exact"/>
              <w:jc w:val="left"/>
              <w:textAlignment w:val="center"/>
              <w:rPr>
                <w:rFonts w:ascii="宋体" w:hAnsi="宋体"/>
                <w:color w:val="000000"/>
                <w:sz w:val="21"/>
                <w:szCs w:val="21"/>
              </w:rPr>
            </w:pPr>
            <w:r>
              <w:rPr>
                <w:rFonts w:hint="eastAsia" w:ascii="宋体" w:hAnsi="宋体"/>
                <w:color w:val="000000"/>
                <w:kern w:val="0"/>
                <w:sz w:val="21"/>
                <w:szCs w:val="21"/>
              </w:rPr>
              <w:t>1、安全分类：I类B型普通设备</w:t>
            </w:r>
            <w:r>
              <w:rPr>
                <w:rFonts w:hint="eastAsia" w:ascii="宋体" w:hAnsi="宋体"/>
                <w:color w:val="000000"/>
                <w:kern w:val="0"/>
                <w:sz w:val="21"/>
                <w:szCs w:val="21"/>
              </w:rPr>
              <w:br w:type="textWrapping"/>
            </w:r>
            <w:r>
              <w:rPr>
                <w:rFonts w:hint="eastAsia" w:ascii="宋体" w:hAnsi="宋体"/>
                <w:color w:val="000000"/>
                <w:kern w:val="0"/>
                <w:sz w:val="21"/>
                <w:szCs w:val="21"/>
              </w:rPr>
              <w:br w:type="textWrapping"/>
            </w:r>
            <w:r>
              <w:rPr>
                <w:rFonts w:hint="eastAsia" w:ascii="宋体" w:hAnsi="宋体"/>
                <w:color w:val="000000"/>
                <w:kern w:val="0"/>
                <w:sz w:val="21"/>
                <w:szCs w:val="21"/>
              </w:rPr>
              <w:t>2、灯管材质：石英;功率：30W，每台配2只灯管总功率：60W</w:t>
            </w:r>
            <w:r>
              <w:rPr>
                <w:rFonts w:hint="eastAsia" w:ascii="宋体" w:hAnsi="宋体"/>
                <w:color w:val="000000"/>
                <w:kern w:val="0"/>
                <w:sz w:val="21"/>
                <w:szCs w:val="21"/>
              </w:rPr>
              <w:br w:type="textWrapping"/>
            </w:r>
            <w:r>
              <w:rPr>
                <w:rFonts w:hint="eastAsia" w:ascii="宋体" w:hAnsi="宋体"/>
                <w:color w:val="000000"/>
                <w:kern w:val="0"/>
                <w:sz w:val="21"/>
                <w:szCs w:val="21"/>
              </w:rPr>
              <w:br w:type="textWrapping"/>
            </w:r>
            <w:r>
              <w:rPr>
                <w:rFonts w:hint="eastAsia" w:ascii="宋体" w:hAnsi="宋体"/>
                <w:color w:val="000000"/>
                <w:kern w:val="0"/>
                <w:sz w:val="21"/>
                <w:szCs w:val="21"/>
              </w:rPr>
              <w:t>3、紫外线波长：253.7nm</w:t>
            </w:r>
            <w:r>
              <w:rPr>
                <w:rFonts w:hint="eastAsia" w:ascii="宋体" w:hAnsi="宋体"/>
                <w:color w:val="000000"/>
                <w:kern w:val="0"/>
                <w:sz w:val="21"/>
                <w:szCs w:val="21"/>
              </w:rPr>
              <w:br w:type="textWrapping"/>
            </w:r>
            <w:r>
              <w:rPr>
                <w:rFonts w:hint="eastAsia" w:ascii="宋体" w:hAnsi="宋体"/>
                <w:color w:val="000000"/>
                <w:kern w:val="0"/>
                <w:sz w:val="21"/>
                <w:szCs w:val="21"/>
              </w:rPr>
              <w:br w:type="textWrapping"/>
            </w:r>
            <w:r>
              <w:rPr>
                <w:rFonts w:hint="eastAsia" w:ascii="宋体" w:hAnsi="宋体"/>
                <w:color w:val="000000"/>
                <w:kern w:val="0"/>
                <w:sz w:val="21"/>
                <w:szCs w:val="21"/>
              </w:rPr>
              <w:t>4、辐射照度≥107µw/cm²(单支灯管)</w:t>
            </w:r>
            <w:r>
              <w:rPr>
                <w:rFonts w:hint="eastAsia" w:ascii="宋体" w:hAnsi="宋体"/>
                <w:color w:val="000000"/>
                <w:kern w:val="0"/>
                <w:sz w:val="21"/>
                <w:szCs w:val="21"/>
              </w:rPr>
              <w:br w:type="textWrapping"/>
            </w:r>
            <w:r>
              <w:rPr>
                <w:rFonts w:hint="eastAsia" w:ascii="宋体" w:hAnsi="宋体"/>
                <w:color w:val="000000"/>
                <w:kern w:val="0"/>
                <w:sz w:val="21"/>
                <w:szCs w:val="21"/>
              </w:rPr>
              <w:br w:type="textWrapping"/>
            </w:r>
            <w:r>
              <w:rPr>
                <w:rFonts w:hint="eastAsia" w:ascii="宋体" w:hAnsi="宋体"/>
                <w:color w:val="000000"/>
                <w:kern w:val="0"/>
                <w:sz w:val="21"/>
                <w:szCs w:val="21"/>
              </w:rPr>
              <w:t>5、灯管寿命≥1000小时</w:t>
            </w:r>
            <w:r>
              <w:rPr>
                <w:rFonts w:hint="eastAsia" w:ascii="宋体" w:hAnsi="宋体"/>
                <w:color w:val="000000"/>
                <w:kern w:val="0"/>
                <w:sz w:val="21"/>
                <w:szCs w:val="21"/>
              </w:rPr>
              <w:br w:type="textWrapping"/>
            </w:r>
            <w:r>
              <w:rPr>
                <w:rFonts w:hint="eastAsia" w:ascii="宋体" w:hAnsi="宋体"/>
                <w:color w:val="000000"/>
                <w:kern w:val="0"/>
                <w:sz w:val="21"/>
                <w:szCs w:val="21"/>
              </w:rPr>
              <w:br w:type="textWrapping"/>
            </w:r>
            <w:r>
              <w:rPr>
                <w:rFonts w:hint="eastAsia" w:ascii="宋体" w:hAnsi="宋体"/>
                <w:color w:val="000000"/>
                <w:kern w:val="0"/>
                <w:sz w:val="21"/>
                <w:szCs w:val="21"/>
              </w:rPr>
              <w:t>6、静态使用体积：≥50m³</w:t>
            </w:r>
            <w:r>
              <w:rPr>
                <w:rFonts w:hint="eastAsia" w:ascii="宋体" w:hAnsi="宋体"/>
                <w:color w:val="000000"/>
                <w:kern w:val="0"/>
                <w:sz w:val="21"/>
                <w:szCs w:val="21"/>
              </w:rPr>
              <w:br w:type="textWrapping"/>
            </w:r>
            <w:r>
              <w:rPr>
                <w:rFonts w:hint="eastAsia" w:ascii="宋体" w:hAnsi="宋体"/>
                <w:color w:val="000000"/>
                <w:kern w:val="0"/>
                <w:sz w:val="21"/>
                <w:szCs w:val="21"/>
              </w:rPr>
              <w:br w:type="textWrapping"/>
            </w:r>
            <w:r>
              <w:rPr>
                <w:rFonts w:hint="eastAsia" w:ascii="宋体" w:hAnsi="宋体"/>
                <w:color w:val="000000"/>
                <w:kern w:val="0"/>
                <w:sz w:val="21"/>
                <w:szCs w:val="21"/>
              </w:rPr>
              <w:t>7、箱体材质：1.2mm厚钢板底座：碳钢喷塑等</w:t>
            </w:r>
            <w:r>
              <w:rPr>
                <w:rFonts w:hint="eastAsia" w:ascii="宋体" w:hAnsi="宋体"/>
                <w:color w:val="000000"/>
                <w:kern w:val="0"/>
                <w:sz w:val="21"/>
                <w:szCs w:val="21"/>
              </w:rPr>
              <w:br w:type="textWrapping"/>
            </w:r>
            <w:r>
              <w:rPr>
                <w:rFonts w:hint="eastAsia" w:ascii="宋体" w:hAnsi="宋体"/>
                <w:color w:val="000000"/>
                <w:kern w:val="0"/>
                <w:sz w:val="21"/>
                <w:szCs w:val="21"/>
              </w:rPr>
              <w:br w:type="textWrapping"/>
            </w:r>
            <w:r>
              <w:rPr>
                <w:rFonts w:hint="eastAsia" w:ascii="宋体" w:hAnsi="宋体"/>
                <w:color w:val="000000"/>
                <w:kern w:val="0"/>
                <w:sz w:val="21"/>
                <w:szCs w:val="21"/>
              </w:rPr>
              <w:t>8、绿色双开关，每个开关控制一支灯管。</w:t>
            </w:r>
            <w:r>
              <w:rPr>
                <w:rFonts w:hint="eastAsia" w:ascii="宋体" w:hAnsi="宋体"/>
                <w:color w:val="000000"/>
                <w:kern w:val="0"/>
                <w:sz w:val="21"/>
                <w:szCs w:val="21"/>
              </w:rPr>
              <w:br w:type="textWrapping"/>
            </w:r>
            <w:r>
              <w:rPr>
                <w:rFonts w:hint="eastAsia" w:ascii="宋体" w:hAnsi="宋体"/>
                <w:color w:val="000000"/>
                <w:kern w:val="0"/>
                <w:sz w:val="21"/>
                <w:szCs w:val="21"/>
              </w:rPr>
              <w:br w:type="textWrapping"/>
            </w:r>
            <w:r>
              <w:rPr>
                <w:rFonts w:hint="eastAsia" w:ascii="宋体" w:hAnsi="宋体"/>
                <w:color w:val="000000"/>
                <w:kern w:val="0"/>
                <w:sz w:val="21"/>
                <w:szCs w:val="21"/>
              </w:rPr>
              <w:t>9、灯臂长度：920mm,采用双灯管结构绿色双开关，单独使用</w:t>
            </w:r>
            <w:r>
              <w:rPr>
                <w:rFonts w:hint="eastAsia" w:ascii="宋体" w:hAnsi="宋体"/>
                <w:color w:val="000000"/>
                <w:kern w:val="0"/>
                <w:sz w:val="21"/>
                <w:szCs w:val="21"/>
              </w:rPr>
              <w:br w:type="textWrapping"/>
            </w:r>
            <w:r>
              <w:rPr>
                <w:rFonts w:hint="eastAsia" w:ascii="宋体" w:hAnsi="宋体"/>
                <w:color w:val="000000"/>
                <w:kern w:val="0"/>
                <w:sz w:val="21"/>
                <w:szCs w:val="21"/>
              </w:rPr>
              <w:br w:type="textWrapping"/>
            </w:r>
            <w:r>
              <w:rPr>
                <w:rFonts w:hint="eastAsia" w:ascii="宋体" w:hAnsi="宋体"/>
                <w:color w:val="000000"/>
                <w:kern w:val="0"/>
                <w:sz w:val="21"/>
                <w:szCs w:val="21"/>
              </w:rPr>
              <w:t>10、灯臂调节角度0°--180°，可360度全方位消毒，无消毒死角</w:t>
            </w:r>
            <w:r>
              <w:rPr>
                <w:rFonts w:hint="eastAsia" w:ascii="宋体" w:hAnsi="宋体"/>
                <w:color w:val="000000"/>
                <w:kern w:val="0"/>
                <w:sz w:val="21"/>
                <w:szCs w:val="21"/>
              </w:rPr>
              <w:br w:type="textWrapping"/>
            </w:r>
            <w:r>
              <w:rPr>
                <w:rFonts w:hint="eastAsia" w:ascii="宋体" w:hAnsi="宋体"/>
                <w:color w:val="000000"/>
                <w:kern w:val="0"/>
                <w:sz w:val="21"/>
                <w:szCs w:val="21"/>
              </w:rPr>
              <w:br w:type="textWrapping"/>
            </w:r>
            <w:r>
              <w:rPr>
                <w:rFonts w:hint="eastAsia" w:ascii="宋体" w:hAnsi="宋体"/>
                <w:color w:val="000000"/>
                <w:kern w:val="0"/>
                <w:sz w:val="21"/>
                <w:szCs w:val="21"/>
              </w:rPr>
              <w:t>11、箱体展开高度2米，灯臂可垂放，折叠放入箱体，保护灯管</w:t>
            </w:r>
            <w:r>
              <w:rPr>
                <w:rFonts w:hint="eastAsia" w:ascii="宋体" w:hAnsi="宋体"/>
                <w:color w:val="000000"/>
                <w:kern w:val="0"/>
                <w:sz w:val="21"/>
                <w:szCs w:val="21"/>
              </w:rPr>
              <w:br w:type="textWrapping"/>
            </w:r>
            <w:r>
              <w:rPr>
                <w:rFonts w:hint="eastAsia" w:ascii="宋体" w:hAnsi="宋体"/>
                <w:color w:val="000000"/>
                <w:kern w:val="0"/>
                <w:sz w:val="21"/>
                <w:szCs w:val="21"/>
              </w:rPr>
              <w:br w:type="textWrapping"/>
            </w:r>
            <w:r>
              <w:rPr>
                <w:rFonts w:hint="eastAsia" w:ascii="宋体" w:hAnsi="宋体"/>
                <w:color w:val="000000"/>
                <w:kern w:val="0"/>
                <w:sz w:val="21"/>
                <w:szCs w:val="21"/>
              </w:rPr>
              <w:t>12、定时范围：0—120分钟</w:t>
            </w:r>
            <w:r>
              <w:rPr>
                <w:rFonts w:hint="eastAsia" w:ascii="宋体" w:hAnsi="宋体"/>
                <w:color w:val="000000"/>
                <w:kern w:val="0"/>
                <w:sz w:val="21"/>
                <w:szCs w:val="21"/>
              </w:rPr>
              <w:br w:type="textWrapping"/>
            </w:r>
            <w:r>
              <w:rPr>
                <w:rFonts w:hint="eastAsia" w:ascii="宋体" w:hAnsi="宋体"/>
                <w:color w:val="000000"/>
                <w:kern w:val="0"/>
                <w:sz w:val="21"/>
                <w:szCs w:val="21"/>
              </w:rPr>
              <w:br w:type="textWrapping"/>
            </w:r>
            <w:r>
              <w:rPr>
                <w:rFonts w:hint="eastAsia" w:ascii="宋体" w:hAnsi="宋体"/>
                <w:color w:val="000000"/>
                <w:kern w:val="0"/>
                <w:sz w:val="21"/>
                <w:szCs w:val="21"/>
              </w:rPr>
              <w:t>13、输入功率：≥180VA电源：220V±10PHz±1Hz</w:t>
            </w:r>
            <w:r>
              <w:rPr>
                <w:rFonts w:hint="eastAsia" w:ascii="宋体" w:hAnsi="宋体"/>
                <w:color w:val="000000"/>
                <w:kern w:val="0"/>
                <w:sz w:val="21"/>
                <w:szCs w:val="21"/>
              </w:rPr>
              <w:br w:type="textWrapping"/>
            </w:r>
            <w:r>
              <w:rPr>
                <w:rFonts w:hint="eastAsia" w:ascii="宋体" w:hAnsi="宋体"/>
                <w:color w:val="000000"/>
                <w:kern w:val="0"/>
                <w:sz w:val="21"/>
                <w:szCs w:val="21"/>
              </w:rPr>
              <w:br w:type="textWrapping"/>
            </w:r>
            <w:r>
              <w:rPr>
                <w:rFonts w:hint="eastAsia" w:ascii="宋体" w:hAnsi="宋体"/>
                <w:color w:val="000000"/>
                <w:kern w:val="0"/>
                <w:sz w:val="21"/>
                <w:szCs w:val="21"/>
              </w:rPr>
              <w:t>14、底座配有万向轮，可自由移动</w:t>
            </w:r>
            <w:r>
              <w:rPr>
                <w:rFonts w:hint="eastAsia" w:ascii="宋体" w:hAnsi="宋体"/>
                <w:color w:val="000000"/>
                <w:kern w:val="0"/>
                <w:sz w:val="21"/>
                <w:szCs w:val="21"/>
              </w:rPr>
              <w:br w:type="textWrapping"/>
            </w:r>
            <w:r>
              <w:rPr>
                <w:rFonts w:hint="eastAsia" w:ascii="宋体" w:hAnsi="宋体"/>
                <w:color w:val="000000"/>
                <w:kern w:val="0"/>
                <w:sz w:val="21"/>
                <w:szCs w:val="21"/>
              </w:rPr>
              <w:br w:type="textWrapping"/>
            </w:r>
            <w:r>
              <w:rPr>
                <w:rFonts w:hint="eastAsia" w:ascii="宋体" w:hAnsi="宋体"/>
                <w:color w:val="000000"/>
                <w:kern w:val="0"/>
                <w:sz w:val="21"/>
                <w:szCs w:val="21"/>
              </w:rPr>
              <w:t>15、设备用途：用于特定范围消毒</w:t>
            </w:r>
          </w:p>
        </w:tc>
      </w:tr>
      <w:tr>
        <w:tblPrEx>
          <w:tblCellMar>
            <w:top w:w="0" w:type="dxa"/>
            <w:left w:w="0" w:type="dxa"/>
            <w:bottom w:w="0" w:type="dxa"/>
            <w:right w:w="0" w:type="dxa"/>
          </w:tblCellMar>
        </w:tblPrEx>
        <w:trPr>
          <w:trHeight w:val="90" w:hRule="atLeast"/>
        </w:trPr>
        <w:tc>
          <w:tcPr>
            <w:tcW w:w="711"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hAnsi="宋体"/>
                <w:b/>
                <w:color w:val="000000"/>
                <w:sz w:val="21"/>
                <w:szCs w:val="21"/>
              </w:rPr>
            </w:pPr>
          </w:p>
        </w:tc>
        <w:tc>
          <w:tcPr>
            <w:tcW w:w="4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olor w:val="000000"/>
                <w:sz w:val="21"/>
                <w:szCs w:val="21"/>
              </w:rPr>
            </w:pPr>
            <w:r>
              <w:rPr>
                <w:rFonts w:hint="eastAsia" w:ascii="宋体" w:hAnsi="宋体"/>
                <w:color w:val="000000"/>
                <w:kern w:val="0"/>
                <w:sz w:val="21"/>
                <w:szCs w:val="21"/>
              </w:rPr>
              <w:t>4</w:t>
            </w:r>
          </w:p>
        </w:tc>
        <w:tc>
          <w:tcPr>
            <w:tcW w:w="7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olor w:val="000000"/>
                <w:sz w:val="21"/>
                <w:szCs w:val="21"/>
              </w:rPr>
            </w:pPr>
            <w:r>
              <w:rPr>
                <w:rFonts w:hint="eastAsia" w:ascii="宋体" w:hAnsi="宋体"/>
                <w:color w:val="000000"/>
                <w:kern w:val="0"/>
                <w:sz w:val="21"/>
                <w:szCs w:val="21"/>
              </w:rPr>
              <w:t>医用冰箱</w:t>
            </w:r>
          </w:p>
        </w:tc>
        <w:tc>
          <w:tcPr>
            <w:tcW w:w="60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olor w:val="000000"/>
                <w:sz w:val="21"/>
                <w:szCs w:val="21"/>
              </w:rPr>
            </w:pPr>
            <w:r>
              <w:rPr>
                <w:rFonts w:hint="eastAsia" w:ascii="宋体" w:hAnsi="宋体"/>
                <w:color w:val="000000"/>
                <w:kern w:val="0"/>
                <w:sz w:val="21"/>
                <w:szCs w:val="21"/>
              </w:rPr>
              <w:t>2台</w:t>
            </w:r>
          </w:p>
        </w:tc>
        <w:tc>
          <w:tcPr>
            <w:tcW w:w="743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after="180"/>
              <w:jc w:val="left"/>
              <w:textAlignment w:val="center"/>
              <w:rPr>
                <w:rFonts w:ascii="宋体" w:hAnsi="宋体"/>
                <w:color w:val="000000"/>
                <w:sz w:val="21"/>
                <w:szCs w:val="21"/>
              </w:rPr>
            </w:pPr>
            <w:r>
              <w:rPr>
                <w:rFonts w:hint="eastAsia" w:ascii="宋体" w:hAnsi="宋体"/>
                <w:color w:val="000000"/>
                <w:kern w:val="0"/>
                <w:sz w:val="21"/>
                <w:szCs w:val="21"/>
              </w:rPr>
              <w:t>1.有效容积：总有效容积≥280L。冷藏室容积≥185L，且冷冻室容积≥97L。</w:t>
            </w:r>
            <w:r>
              <w:rPr>
                <w:rFonts w:hint="eastAsia" w:ascii="宋体" w:hAnsi="宋体"/>
                <w:color w:val="000000"/>
                <w:kern w:val="0"/>
                <w:sz w:val="21"/>
                <w:szCs w:val="21"/>
              </w:rPr>
              <w:br w:type="textWrapping"/>
            </w:r>
            <w:r>
              <w:rPr>
                <w:rFonts w:hint="eastAsia" w:ascii="宋体" w:hAnsi="宋体"/>
                <w:color w:val="000000"/>
                <w:kern w:val="0"/>
                <w:sz w:val="21"/>
                <w:szCs w:val="21"/>
              </w:rPr>
              <w:t xml:space="preserve">2.外部尺寸：产品高度≥1810MM </w:t>
            </w:r>
            <w:r>
              <w:rPr>
                <w:rFonts w:hint="eastAsia" w:ascii="宋体" w:hAnsi="宋体"/>
                <w:color w:val="000000"/>
                <w:kern w:val="0"/>
                <w:sz w:val="21"/>
                <w:szCs w:val="21"/>
              </w:rPr>
              <w:br w:type="textWrapping"/>
            </w:r>
            <w:r>
              <w:rPr>
                <w:rFonts w:hint="eastAsia" w:ascii="宋体" w:hAnsi="宋体"/>
                <w:color w:val="000000"/>
                <w:kern w:val="0"/>
                <w:sz w:val="21"/>
                <w:szCs w:val="21"/>
              </w:rPr>
              <w:t>3.温度控制：微电脑控制，LED显示。冷藏室2～8℃可调；冷冻室-20～-30℃可调。冷藏温度和冷冻温度同时显示，无需切换即可同时读取冷藏室和冷冻室温度；</w:t>
            </w:r>
            <w:r>
              <w:rPr>
                <w:rFonts w:hint="eastAsia" w:ascii="宋体" w:hAnsi="宋体"/>
                <w:color w:val="000000"/>
                <w:kern w:val="0"/>
                <w:sz w:val="21"/>
                <w:szCs w:val="21"/>
              </w:rPr>
              <w:br w:type="textWrapping"/>
            </w:r>
            <w:r>
              <w:rPr>
                <w:rFonts w:hint="eastAsia" w:ascii="宋体" w:hAnsi="宋体"/>
                <w:color w:val="000000"/>
                <w:kern w:val="0"/>
                <w:sz w:val="21"/>
                <w:szCs w:val="21"/>
              </w:rPr>
              <w:t>4.安全系统：可实现高低温报警、传感器故障报警</w:t>
            </w:r>
            <w:r>
              <w:rPr>
                <w:rFonts w:hint="eastAsia" w:ascii="宋体" w:hAnsi="宋体"/>
                <w:color w:val="000000"/>
                <w:kern w:val="0"/>
                <w:sz w:val="21"/>
                <w:szCs w:val="21"/>
              </w:rPr>
              <w:br w:type="textWrapping"/>
            </w:r>
            <w:r>
              <w:rPr>
                <w:rFonts w:hint="eastAsia" w:ascii="宋体" w:hAnsi="宋体"/>
                <w:color w:val="000000"/>
                <w:kern w:val="0"/>
                <w:sz w:val="21"/>
                <w:szCs w:val="21"/>
              </w:rPr>
              <w:t>5.内风机：采用品牌内风机，保证箱内温度均匀性；</w:t>
            </w:r>
            <w:r>
              <w:rPr>
                <w:rFonts w:hint="eastAsia" w:ascii="宋体" w:hAnsi="宋体"/>
                <w:color w:val="000000"/>
                <w:kern w:val="0"/>
                <w:sz w:val="21"/>
                <w:szCs w:val="21"/>
              </w:rPr>
              <w:br w:type="textWrapping"/>
            </w:r>
            <w:r>
              <w:rPr>
                <w:rFonts w:hint="eastAsia" w:ascii="宋体" w:hAnsi="宋体"/>
                <w:color w:val="000000"/>
                <w:kern w:val="0"/>
                <w:sz w:val="21"/>
                <w:szCs w:val="21"/>
              </w:rPr>
              <w:t>6.均匀性：冷藏室±3℃，冷藏室设有内风机，保证温度均匀性；</w:t>
            </w:r>
            <w:r>
              <w:rPr>
                <w:rFonts w:hint="eastAsia" w:ascii="宋体" w:hAnsi="宋体"/>
                <w:color w:val="000000"/>
                <w:kern w:val="0"/>
                <w:sz w:val="21"/>
                <w:szCs w:val="21"/>
              </w:rPr>
              <w:br w:type="textWrapping"/>
            </w:r>
            <w:r>
              <w:rPr>
                <w:rFonts w:hint="eastAsia" w:ascii="宋体" w:hAnsi="宋体"/>
                <w:color w:val="000000"/>
                <w:kern w:val="0"/>
                <w:sz w:val="21"/>
                <w:szCs w:val="21"/>
              </w:rPr>
              <w:t>7.安全设计：两个门体分别带锁扣,每个锁扣均可加双挂锁，满足安全要求；</w:t>
            </w:r>
            <w:r>
              <w:rPr>
                <w:rFonts w:hint="eastAsia" w:ascii="宋体" w:hAnsi="宋体"/>
                <w:color w:val="000000"/>
                <w:kern w:val="0"/>
                <w:sz w:val="21"/>
                <w:szCs w:val="21"/>
              </w:rPr>
              <w:br w:type="textWrapping"/>
            </w:r>
            <w:r>
              <w:rPr>
                <w:rFonts w:hint="eastAsia" w:ascii="宋体" w:hAnsi="宋体"/>
                <w:color w:val="000000"/>
                <w:kern w:val="0"/>
                <w:sz w:val="21"/>
                <w:szCs w:val="21"/>
              </w:rPr>
              <w:t>8.宽电压带设计：宽电压带，适合187～242V电压下使用；</w:t>
            </w:r>
          </w:p>
        </w:tc>
      </w:tr>
      <w:tr>
        <w:tblPrEx>
          <w:tblCellMar>
            <w:top w:w="0" w:type="dxa"/>
            <w:left w:w="0" w:type="dxa"/>
            <w:bottom w:w="0" w:type="dxa"/>
            <w:right w:w="0" w:type="dxa"/>
          </w:tblCellMar>
        </w:tblPrEx>
        <w:trPr>
          <w:trHeight w:val="90" w:hRule="atLeast"/>
        </w:trPr>
        <w:tc>
          <w:tcPr>
            <w:tcW w:w="711"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hAnsi="宋体"/>
                <w:b/>
                <w:color w:val="000000"/>
                <w:sz w:val="21"/>
                <w:szCs w:val="21"/>
              </w:rPr>
            </w:pPr>
          </w:p>
        </w:tc>
        <w:tc>
          <w:tcPr>
            <w:tcW w:w="4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olor w:val="000000"/>
                <w:sz w:val="21"/>
                <w:szCs w:val="21"/>
              </w:rPr>
            </w:pPr>
            <w:r>
              <w:rPr>
                <w:rFonts w:hint="eastAsia" w:ascii="宋体" w:hAnsi="宋体"/>
                <w:color w:val="000000"/>
                <w:kern w:val="0"/>
                <w:sz w:val="21"/>
                <w:szCs w:val="21"/>
              </w:rPr>
              <w:t>5</w:t>
            </w:r>
          </w:p>
        </w:tc>
        <w:tc>
          <w:tcPr>
            <w:tcW w:w="7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olor w:val="000000"/>
                <w:sz w:val="21"/>
                <w:szCs w:val="21"/>
              </w:rPr>
            </w:pPr>
            <w:r>
              <w:rPr>
                <w:rFonts w:hint="eastAsia" w:ascii="宋体" w:hAnsi="宋体"/>
                <w:color w:val="000000"/>
                <w:kern w:val="0"/>
                <w:sz w:val="21"/>
                <w:szCs w:val="21"/>
              </w:rPr>
              <w:t>生物安全型高压灭菌器</w:t>
            </w:r>
          </w:p>
        </w:tc>
        <w:tc>
          <w:tcPr>
            <w:tcW w:w="60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olor w:val="000000"/>
                <w:sz w:val="21"/>
                <w:szCs w:val="21"/>
              </w:rPr>
            </w:pPr>
            <w:r>
              <w:rPr>
                <w:rFonts w:hint="eastAsia" w:ascii="宋体" w:hAnsi="宋体"/>
                <w:color w:val="000000"/>
                <w:kern w:val="0"/>
                <w:sz w:val="21"/>
                <w:szCs w:val="21"/>
              </w:rPr>
              <w:t>2台</w:t>
            </w:r>
          </w:p>
        </w:tc>
        <w:tc>
          <w:tcPr>
            <w:tcW w:w="743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宋体" w:hAnsi="宋体"/>
                <w:color w:val="000000"/>
                <w:kern w:val="0"/>
                <w:sz w:val="21"/>
                <w:szCs w:val="21"/>
              </w:rPr>
            </w:pPr>
            <w:r>
              <w:rPr>
                <w:rFonts w:hint="eastAsia" w:ascii="宋体" w:hAnsi="宋体"/>
                <w:color w:val="000000"/>
                <w:kern w:val="0"/>
                <w:sz w:val="21"/>
                <w:szCs w:val="21"/>
              </w:rPr>
              <w:t xml:space="preserve">  一.性能指标</w:t>
            </w:r>
          </w:p>
          <w:p>
            <w:pPr>
              <w:widowControl/>
              <w:jc w:val="left"/>
              <w:textAlignment w:val="center"/>
              <w:rPr>
                <w:rFonts w:ascii="宋体" w:hAnsi="宋体"/>
                <w:color w:val="000000"/>
                <w:kern w:val="0"/>
                <w:sz w:val="21"/>
                <w:szCs w:val="21"/>
              </w:rPr>
            </w:pPr>
            <w:r>
              <w:rPr>
                <w:rFonts w:hint="eastAsia" w:ascii="宋体" w:hAnsi="宋体"/>
                <w:color w:val="000000"/>
                <w:kern w:val="0"/>
                <w:sz w:val="21"/>
                <w:szCs w:val="21"/>
              </w:rPr>
              <w:t>1. 灭菌器厂家本身必须具有特种设备制造资质和特种设备安装资质，即：特种设备（压力容器）制造许可证（</w:t>
            </w:r>
            <w:r>
              <w:rPr>
                <w:rFonts w:hint="eastAsia" w:ascii="宋体" w:hAnsi="宋体"/>
                <w:b/>
                <w:bCs/>
                <w:color w:val="000000"/>
                <w:kern w:val="0"/>
                <w:sz w:val="21"/>
                <w:szCs w:val="21"/>
              </w:rPr>
              <w:t>投标文件商务、技术证明文件中提供复印件），</w:t>
            </w:r>
            <w:r>
              <w:rPr>
                <w:rFonts w:hint="eastAsia" w:ascii="宋体" w:hAnsi="宋体"/>
                <w:color w:val="000000"/>
                <w:kern w:val="0"/>
                <w:sz w:val="21"/>
                <w:szCs w:val="21"/>
              </w:rPr>
              <w:t>中标后，厂家免费办理特种设使用登记证。</w:t>
            </w:r>
          </w:p>
          <w:p>
            <w:pPr>
              <w:widowControl/>
              <w:jc w:val="left"/>
              <w:textAlignment w:val="center"/>
              <w:rPr>
                <w:rFonts w:ascii="宋体" w:hAnsi="宋体"/>
                <w:color w:val="000000"/>
                <w:kern w:val="0"/>
                <w:sz w:val="21"/>
                <w:szCs w:val="21"/>
              </w:rPr>
            </w:pPr>
            <w:r>
              <w:rPr>
                <w:rFonts w:hint="eastAsia" w:ascii="宋体" w:hAnsi="宋体"/>
                <w:color w:val="000000"/>
                <w:kern w:val="0"/>
                <w:sz w:val="21"/>
                <w:szCs w:val="21"/>
              </w:rPr>
              <w:t xml:space="preserve">2.容量:≥85升,立式结构,底部带脚轮 ；腔体直径≥40CM </w:t>
            </w:r>
          </w:p>
          <w:p>
            <w:pPr>
              <w:widowControl/>
              <w:jc w:val="left"/>
              <w:textAlignment w:val="center"/>
              <w:rPr>
                <w:rFonts w:ascii="宋体" w:hAnsi="宋体"/>
                <w:color w:val="000000"/>
                <w:kern w:val="0"/>
                <w:sz w:val="21"/>
                <w:szCs w:val="21"/>
              </w:rPr>
            </w:pPr>
            <w:r>
              <w:rPr>
                <w:rFonts w:hint="eastAsia" w:ascii="宋体" w:hAnsi="宋体"/>
                <w:color w:val="000000"/>
                <w:kern w:val="0"/>
                <w:sz w:val="21"/>
                <w:szCs w:val="21"/>
              </w:rPr>
              <w:t>3.灭菌腔材料:SUS304不锈钢；加热功率≥4600W</w:t>
            </w:r>
          </w:p>
          <w:p>
            <w:pPr>
              <w:widowControl/>
              <w:jc w:val="left"/>
              <w:textAlignment w:val="center"/>
              <w:rPr>
                <w:rFonts w:ascii="宋体" w:hAnsi="宋体"/>
                <w:color w:val="000000"/>
                <w:kern w:val="0"/>
                <w:sz w:val="21"/>
                <w:szCs w:val="21"/>
              </w:rPr>
            </w:pPr>
            <w:r>
              <w:rPr>
                <w:rFonts w:hint="eastAsia" w:ascii="宋体" w:hAnsi="宋体"/>
                <w:color w:val="000000"/>
                <w:kern w:val="0"/>
                <w:sz w:val="21"/>
                <w:szCs w:val="21"/>
              </w:rPr>
              <w:t>4.开关盖方式：触拨式开关，垂直向上打开腔门（翻盖式开关盖），节省实验室空间</w:t>
            </w:r>
          </w:p>
          <w:p>
            <w:pPr>
              <w:widowControl/>
              <w:jc w:val="left"/>
              <w:textAlignment w:val="center"/>
              <w:rPr>
                <w:rFonts w:ascii="宋体" w:hAnsi="宋体"/>
                <w:color w:val="000000"/>
                <w:kern w:val="0"/>
                <w:sz w:val="21"/>
                <w:szCs w:val="21"/>
              </w:rPr>
            </w:pPr>
            <w:r>
              <w:rPr>
                <w:rFonts w:hint="eastAsia" w:ascii="宋体" w:hAnsi="宋体"/>
                <w:color w:val="000000"/>
                <w:kern w:val="0"/>
                <w:sz w:val="21"/>
                <w:szCs w:val="21"/>
              </w:rPr>
              <w:t>5．时间范围:灭菌时间:1-6000分钟,融化时间:1-6000分钟,保温时间:1-9999分钟，定时器预置范围：0-6天延迟</w:t>
            </w:r>
          </w:p>
          <w:p>
            <w:pPr>
              <w:widowControl/>
              <w:jc w:val="left"/>
              <w:textAlignment w:val="center"/>
              <w:rPr>
                <w:rFonts w:ascii="宋体" w:hAnsi="宋体"/>
                <w:color w:val="000000"/>
                <w:kern w:val="0"/>
                <w:sz w:val="21"/>
                <w:szCs w:val="21"/>
              </w:rPr>
            </w:pPr>
            <w:r>
              <w:rPr>
                <w:rFonts w:hint="eastAsia" w:ascii="宋体" w:hAnsi="宋体"/>
                <w:color w:val="000000"/>
                <w:kern w:val="0"/>
                <w:sz w:val="21"/>
                <w:szCs w:val="21"/>
              </w:rPr>
              <w:t>6.温度和压力: 最高灭菌温度≥138℃；设计压力：≥0.35Mpa,安全阀起跳压力≥0.31Mpa </w:t>
            </w:r>
          </w:p>
          <w:p>
            <w:pPr>
              <w:widowControl/>
              <w:jc w:val="left"/>
              <w:textAlignment w:val="center"/>
              <w:rPr>
                <w:rFonts w:ascii="宋体" w:hAnsi="宋体"/>
                <w:color w:val="000000"/>
                <w:kern w:val="0"/>
                <w:sz w:val="21"/>
                <w:szCs w:val="21"/>
              </w:rPr>
            </w:pPr>
            <w:r>
              <w:rPr>
                <w:rFonts w:hint="eastAsia" w:ascii="宋体" w:hAnsi="宋体"/>
                <w:color w:val="000000"/>
                <w:kern w:val="0"/>
                <w:sz w:val="21"/>
                <w:szCs w:val="21"/>
              </w:rPr>
              <w:t>7.缺水双重保护: 配备温度式和离子浓度式两种水位传感器,杜绝误判, 防止干烧</w:t>
            </w:r>
          </w:p>
          <w:p>
            <w:pPr>
              <w:widowControl/>
              <w:jc w:val="left"/>
              <w:textAlignment w:val="center"/>
              <w:rPr>
                <w:rFonts w:ascii="宋体" w:hAnsi="宋体"/>
                <w:color w:val="000000"/>
                <w:kern w:val="0"/>
                <w:sz w:val="21"/>
                <w:szCs w:val="21"/>
              </w:rPr>
            </w:pPr>
            <w:r>
              <w:rPr>
                <w:rFonts w:hint="eastAsia" w:ascii="宋体" w:hAnsi="宋体"/>
                <w:color w:val="000000"/>
                <w:kern w:val="0"/>
                <w:sz w:val="21"/>
                <w:szCs w:val="21"/>
              </w:rPr>
              <w:t>8.记忆存储系统:可记忆存储20条灭菌程序</w:t>
            </w:r>
          </w:p>
          <w:p>
            <w:pPr>
              <w:widowControl/>
              <w:jc w:val="left"/>
              <w:textAlignment w:val="center"/>
              <w:rPr>
                <w:rFonts w:ascii="宋体" w:hAnsi="宋体"/>
                <w:color w:val="000000"/>
                <w:kern w:val="0"/>
                <w:sz w:val="21"/>
                <w:szCs w:val="21"/>
              </w:rPr>
            </w:pPr>
            <w:r>
              <w:rPr>
                <w:rFonts w:hint="eastAsia" w:ascii="宋体" w:hAnsi="宋体"/>
                <w:color w:val="000000"/>
                <w:kern w:val="0"/>
                <w:sz w:val="21"/>
                <w:szCs w:val="21"/>
              </w:rPr>
              <w:t>9.六级排汽方式：灭菌结束完成后，排气阀可按设定的六级排汽速度排汽，同时在排气过程中排汽速度可随时进行手动调整，优于传统的全排，不排，微排等排气方式。</w:t>
            </w:r>
          </w:p>
          <w:p>
            <w:pPr>
              <w:widowControl/>
              <w:jc w:val="left"/>
              <w:textAlignment w:val="center"/>
              <w:rPr>
                <w:rFonts w:ascii="宋体" w:hAnsi="宋体"/>
                <w:color w:val="000000"/>
                <w:kern w:val="0"/>
                <w:sz w:val="21"/>
                <w:szCs w:val="21"/>
              </w:rPr>
            </w:pPr>
            <w:r>
              <w:rPr>
                <w:rFonts w:hint="eastAsia" w:ascii="宋体" w:hAnsi="宋体"/>
                <w:color w:val="000000"/>
                <w:kern w:val="0"/>
                <w:sz w:val="21"/>
                <w:szCs w:val="21"/>
              </w:rPr>
              <w:t>10.具有废弃物灭菌模式：专用的废弃物灭菌程序，对实验室的废弃物进行有效灭菌</w:t>
            </w:r>
          </w:p>
          <w:p>
            <w:pPr>
              <w:widowControl/>
              <w:jc w:val="left"/>
              <w:textAlignment w:val="center"/>
              <w:rPr>
                <w:rFonts w:ascii="宋体" w:hAnsi="宋体"/>
                <w:color w:val="000000"/>
                <w:kern w:val="0"/>
                <w:sz w:val="21"/>
                <w:szCs w:val="21"/>
              </w:rPr>
            </w:pPr>
            <w:r>
              <w:rPr>
                <w:rFonts w:hint="eastAsia" w:ascii="宋体" w:hAnsi="宋体"/>
                <w:color w:val="000000"/>
                <w:kern w:val="0"/>
                <w:sz w:val="21"/>
                <w:szCs w:val="21"/>
              </w:rPr>
              <w:t>11.排汽排水生物安全:优选孔径为0.2μm的原装进口疏水型PTFE过滤器，确保排汽时将气溶胶、微生物、病毒等都拦截在灭菌腔内，确保冷凝水等在灭菌完成之前不外排。</w:t>
            </w:r>
          </w:p>
          <w:p>
            <w:pPr>
              <w:widowControl/>
              <w:jc w:val="left"/>
              <w:textAlignment w:val="center"/>
              <w:rPr>
                <w:rFonts w:ascii="宋体" w:hAnsi="宋体"/>
                <w:color w:val="000000"/>
                <w:kern w:val="0"/>
                <w:sz w:val="21"/>
                <w:szCs w:val="21"/>
              </w:rPr>
            </w:pPr>
            <w:r>
              <w:rPr>
                <w:rFonts w:hint="eastAsia" w:ascii="宋体" w:hAnsi="宋体"/>
                <w:color w:val="000000"/>
                <w:kern w:val="0"/>
                <w:sz w:val="21"/>
                <w:szCs w:val="21"/>
              </w:rPr>
              <w:t>12. 在线灭菌功能：系统在装载物灭菌时对过滤器进行同步灭菌，并实时监测过滤器灭菌温度及使用情况，确保过滤器灭菌的有效性，杜绝二次感染。</w:t>
            </w:r>
          </w:p>
          <w:p>
            <w:pPr>
              <w:widowControl/>
              <w:jc w:val="left"/>
              <w:textAlignment w:val="center"/>
              <w:rPr>
                <w:rFonts w:ascii="宋体" w:hAnsi="宋体"/>
                <w:color w:val="000000"/>
                <w:kern w:val="0"/>
                <w:sz w:val="21"/>
                <w:szCs w:val="21"/>
              </w:rPr>
            </w:pPr>
            <w:r>
              <w:rPr>
                <w:rFonts w:hint="eastAsia" w:ascii="宋体" w:hAnsi="宋体"/>
                <w:color w:val="000000"/>
                <w:kern w:val="0"/>
                <w:sz w:val="21"/>
                <w:szCs w:val="21"/>
              </w:rPr>
              <w:t>13.集汽瓶：内置双蒸汽集汽瓶，不会影响周围环境，前置集汽瓶，方便使用</w:t>
            </w:r>
          </w:p>
          <w:p>
            <w:pPr>
              <w:widowControl/>
              <w:jc w:val="left"/>
              <w:textAlignment w:val="center"/>
              <w:rPr>
                <w:rFonts w:ascii="宋体" w:hAnsi="宋体"/>
                <w:color w:val="000000"/>
                <w:kern w:val="0"/>
                <w:sz w:val="21"/>
                <w:szCs w:val="21"/>
              </w:rPr>
            </w:pPr>
            <w:r>
              <w:rPr>
                <w:rFonts w:hint="eastAsia" w:ascii="宋体" w:hAnsi="宋体"/>
                <w:color w:val="000000"/>
                <w:kern w:val="0"/>
                <w:sz w:val="21"/>
                <w:szCs w:val="21"/>
              </w:rPr>
              <w:t>14.标配冷却风扇，灭菌结束可快速降低腔体温度</w:t>
            </w:r>
          </w:p>
          <w:p>
            <w:pPr>
              <w:widowControl/>
              <w:jc w:val="left"/>
              <w:textAlignment w:val="center"/>
              <w:rPr>
                <w:rFonts w:ascii="宋体" w:hAnsi="宋体"/>
                <w:color w:val="000000"/>
                <w:kern w:val="0"/>
                <w:sz w:val="21"/>
                <w:szCs w:val="21"/>
              </w:rPr>
            </w:pPr>
            <w:r>
              <w:rPr>
                <w:rFonts w:hint="eastAsia" w:ascii="宋体" w:hAnsi="宋体"/>
                <w:color w:val="000000"/>
                <w:kern w:val="0"/>
                <w:sz w:val="21"/>
                <w:szCs w:val="21"/>
              </w:rPr>
              <w:t>15. F0值：具有F0值计算功能，选购打印机可打印出F0值、温度等数据</w:t>
            </w:r>
            <w:r>
              <w:rPr>
                <w:rFonts w:hint="eastAsia" w:ascii="宋体" w:hAnsi="宋体"/>
                <w:color w:val="000000"/>
                <w:kern w:val="0"/>
                <w:sz w:val="21"/>
                <w:szCs w:val="21"/>
              </w:rPr>
              <w:br w:type="textWrapping"/>
            </w:r>
            <w:r>
              <w:rPr>
                <w:rFonts w:hint="eastAsia" w:ascii="宋体" w:hAnsi="宋体"/>
                <w:color w:val="000000"/>
                <w:kern w:val="0"/>
                <w:sz w:val="21"/>
                <w:szCs w:val="21"/>
              </w:rPr>
              <w:t>16.温度和压力曲线：选购打印校验套装，温度和压力可以同时打印为数据和曲线方式</w:t>
            </w:r>
          </w:p>
          <w:p>
            <w:pPr>
              <w:widowControl/>
              <w:jc w:val="left"/>
              <w:textAlignment w:val="center"/>
              <w:rPr>
                <w:rFonts w:ascii="宋体" w:hAnsi="宋体"/>
                <w:color w:val="000000"/>
                <w:kern w:val="0"/>
                <w:sz w:val="21"/>
                <w:szCs w:val="21"/>
              </w:rPr>
            </w:pPr>
            <w:r>
              <w:rPr>
                <w:rFonts w:hint="eastAsia" w:ascii="宋体" w:hAnsi="宋体"/>
                <w:color w:val="000000"/>
                <w:kern w:val="0"/>
                <w:sz w:val="21"/>
                <w:szCs w:val="21"/>
              </w:rPr>
              <w:t>17.冷却锁打开温度:根据灭菌物的热惯性,可设置灭菌物的开盖温度,温度没达到设定温度,腔盖无法打开</w:t>
            </w:r>
            <w:r>
              <w:rPr>
                <w:rFonts w:hint="eastAsia" w:ascii="宋体" w:hAnsi="宋体"/>
                <w:color w:val="000000"/>
                <w:kern w:val="0"/>
                <w:sz w:val="21"/>
                <w:szCs w:val="21"/>
              </w:rPr>
              <w:br w:type="textWrapping"/>
            </w:r>
            <w:r>
              <w:rPr>
                <w:rFonts w:hint="eastAsia" w:ascii="宋体" w:hAnsi="宋体"/>
                <w:color w:val="000000"/>
                <w:kern w:val="0"/>
                <w:sz w:val="21"/>
                <w:szCs w:val="21"/>
              </w:rPr>
              <w:t>18.检验接口：提供温度、压力校验接口，方便进行校验，可搭配3Q验证转接头，最多可同时接入15根温度探头</w:t>
            </w:r>
          </w:p>
          <w:p>
            <w:pPr>
              <w:widowControl/>
              <w:jc w:val="left"/>
              <w:textAlignment w:val="center"/>
              <w:rPr>
                <w:rFonts w:ascii="宋体" w:hAnsi="宋体"/>
                <w:color w:val="000000"/>
                <w:kern w:val="0"/>
                <w:sz w:val="21"/>
                <w:szCs w:val="21"/>
              </w:rPr>
            </w:pPr>
            <w:r>
              <w:rPr>
                <w:rFonts w:hint="eastAsia" w:ascii="宋体" w:hAnsi="宋体"/>
                <w:color w:val="000000"/>
                <w:kern w:val="0"/>
                <w:sz w:val="21"/>
                <w:szCs w:val="21"/>
              </w:rPr>
              <w:t>19.具有六种灭菌模式:固体模式、液体保温模式、液体模式、琼脂模式、废弃物模式、自定义模式。包含液体、固体等灭菌，以及针对特殊物质灭菌器的自定义灭菌模式</w:t>
            </w:r>
          </w:p>
          <w:p>
            <w:pPr>
              <w:widowControl/>
              <w:jc w:val="left"/>
              <w:textAlignment w:val="center"/>
              <w:rPr>
                <w:rFonts w:ascii="宋体" w:hAnsi="宋体"/>
                <w:color w:val="000000"/>
                <w:kern w:val="0"/>
                <w:sz w:val="21"/>
                <w:szCs w:val="21"/>
              </w:rPr>
            </w:pPr>
            <w:r>
              <w:rPr>
                <w:rFonts w:hint="eastAsia" w:ascii="宋体" w:hAnsi="宋体"/>
                <w:color w:val="000000"/>
                <w:kern w:val="0"/>
                <w:sz w:val="21"/>
                <w:szCs w:val="21"/>
              </w:rPr>
              <w:t>20.附件:不锈钢提篮2个,冷却风扇1套，使用说明书（ZWKYP）</w:t>
            </w:r>
          </w:p>
          <w:p>
            <w:pPr>
              <w:widowControl/>
              <w:jc w:val="left"/>
              <w:textAlignment w:val="center"/>
              <w:rPr>
                <w:rFonts w:ascii="宋体" w:hAnsi="宋体"/>
                <w:color w:val="000000"/>
                <w:kern w:val="0"/>
                <w:sz w:val="21"/>
                <w:szCs w:val="21"/>
              </w:rPr>
            </w:pPr>
            <w:r>
              <w:rPr>
                <w:rFonts w:hint="eastAsia" w:ascii="宋体" w:hAnsi="宋体"/>
                <w:color w:val="000000"/>
                <w:kern w:val="0"/>
                <w:sz w:val="21"/>
                <w:szCs w:val="21"/>
              </w:rPr>
              <w:t>21.安全装置：</w:t>
            </w:r>
          </w:p>
          <w:p>
            <w:pPr>
              <w:widowControl/>
              <w:jc w:val="left"/>
              <w:textAlignment w:val="center"/>
              <w:rPr>
                <w:rFonts w:ascii="宋体" w:hAnsi="宋体"/>
                <w:color w:val="000000"/>
                <w:kern w:val="0"/>
                <w:sz w:val="21"/>
                <w:szCs w:val="21"/>
              </w:rPr>
            </w:pPr>
            <w:r>
              <w:rPr>
                <w:rFonts w:hint="eastAsia" w:ascii="宋体" w:hAnsi="宋体"/>
                <w:color w:val="000000"/>
                <w:kern w:val="0"/>
                <w:sz w:val="21"/>
                <w:szCs w:val="21"/>
              </w:rPr>
              <w:t>八柱均分连锁装置，闭盖检查系统，电动式双内锁，冷却锁，缺水双重保护（干烧保护+水位传感器报警），过压双重保护，自动故障检测系统，后台安全测试程序，漏电保护、过流与短路保护，防烫保护</w:t>
            </w:r>
          </w:p>
          <w:p>
            <w:pPr>
              <w:widowControl/>
              <w:jc w:val="left"/>
              <w:textAlignment w:val="center"/>
              <w:rPr>
                <w:rFonts w:ascii="宋体" w:hAnsi="宋体"/>
                <w:color w:val="000000"/>
                <w:kern w:val="0"/>
                <w:sz w:val="21"/>
                <w:szCs w:val="21"/>
              </w:rPr>
            </w:pPr>
            <w:bookmarkStart w:id="31" w:name="_Hlk37695772"/>
            <w:r>
              <w:rPr>
                <w:rFonts w:hint="eastAsia" w:ascii="宋体" w:hAnsi="宋体"/>
                <w:color w:val="000000"/>
                <w:kern w:val="0"/>
                <w:sz w:val="21"/>
                <w:szCs w:val="21"/>
              </w:rPr>
              <w:t>22.鉴于高压灭菌器是特种压力设备,生产由国家严格管控，生产厂家具有医疗器械生产许可证，压力容器具有CE-PED认证；产品具有经过国家权威机构检测通过的检测报告（</w:t>
            </w:r>
            <w:r>
              <w:rPr>
                <w:rFonts w:hint="eastAsia" w:ascii="宋体" w:hAnsi="宋体"/>
                <w:b/>
                <w:bCs/>
                <w:color w:val="000000"/>
                <w:kern w:val="0"/>
                <w:sz w:val="21"/>
                <w:szCs w:val="21"/>
              </w:rPr>
              <w:t>投标文件商务、技术证明文件提供复印件）</w:t>
            </w:r>
          </w:p>
          <w:bookmarkEnd w:id="31"/>
          <w:p>
            <w:pPr>
              <w:widowControl/>
              <w:jc w:val="left"/>
              <w:textAlignment w:val="center"/>
              <w:rPr>
                <w:rFonts w:ascii="宋体" w:hAnsi="宋体"/>
                <w:color w:val="000000"/>
                <w:sz w:val="21"/>
                <w:szCs w:val="21"/>
              </w:rPr>
            </w:pPr>
            <w:r>
              <w:rPr>
                <w:rFonts w:hint="eastAsia" w:ascii="宋体" w:hAnsi="宋体"/>
                <w:color w:val="000000"/>
                <w:kern w:val="0"/>
                <w:sz w:val="21"/>
                <w:szCs w:val="21"/>
              </w:rPr>
              <w:t>23.配置清单</w:t>
            </w:r>
          </w:p>
        </w:tc>
      </w:tr>
      <w:tr>
        <w:tblPrEx>
          <w:tblCellMar>
            <w:top w:w="0" w:type="dxa"/>
            <w:left w:w="0" w:type="dxa"/>
            <w:bottom w:w="0" w:type="dxa"/>
            <w:right w:w="0" w:type="dxa"/>
          </w:tblCellMar>
        </w:tblPrEx>
        <w:trPr>
          <w:trHeight w:val="1620" w:hRule="atLeast"/>
        </w:trPr>
        <w:tc>
          <w:tcPr>
            <w:tcW w:w="711"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b/>
                <w:color w:val="000000"/>
                <w:sz w:val="21"/>
                <w:szCs w:val="21"/>
              </w:rPr>
            </w:pPr>
            <w:r>
              <w:rPr>
                <w:rFonts w:hint="eastAsia" w:ascii="宋体" w:hAnsi="宋体"/>
                <w:b/>
                <w:color w:val="000000"/>
                <w:kern w:val="0"/>
                <w:sz w:val="21"/>
                <w:szCs w:val="21"/>
              </w:rPr>
              <w:t>标本制备区</w:t>
            </w:r>
          </w:p>
        </w:tc>
        <w:tc>
          <w:tcPr>
            <w:tcW w:w="4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olor w:val="000000"/>
                <w:sz w:val="21"/>
                <w:szCs w:val="21"/>
              </w:rPr>
            </w:pPr>
            <w:r>
              <w:rPr>
                <w:rFonts w:hint="eastAsia" w:ascii="宋体" w:hAnsi="宋体"/>
                <w:color w:val="000000"/>
                <w:kern w:val="0"/>
                <w:sz w:val="21"/>
                <w:szCs w:val="21"/>
              </w:rPr>
              <w:t>6</w:t>
            </w:r>
          </w:p>
        </w:tc>
        <w:tc>
          <w:tcPr>
            <w:tcW w:w="7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olor w:val="000000"/>
                <w:sz w:val="21"/>
                <w:szCs w:val="21"/>
              </w:rPr>
            </w:pPr>
            <w:r>
              <w:rPr>
                <w:rFonts w:hint="eastAsia" w:ascii="宋体" w:hAnsi="宋体"/>
                <w:color w:val="000000"/>
                <w:kern w:val="0"/>
                <w:sz w:val="21"/>
                <w:szCs w:val="21"/>
              </w:rPr>
              <w:t>生物安全柜</w:t>
            </w:r>
          </w:p>
        </w:tc>
        <w:tc>
          <w:tcPr>
            <w:tcW w:w="60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olor w:val="000000"/>
                <w:sz w:val="21"/>
                <w:szCs w:val="21"/>
              </w:rPr>
            </w:pPr>
            <w:r>
              <w:rPr>
                <w:rFonts w:hint="eastAsia" w:ascii="宋体" w:hAnsi="宋体"/>
                <w:color w:val="000000"/>
                <w:kern w:val="0"/>
                <w:sz w:val="21"/>
                <w:szCs w:val="21"/>
              </w:rPr>
              <w:t>2台</w:t>
            </w:r>
          </w:p>
        </w:tc>
        <w:tc>
          <w:tcPr>
            <w:tcW w:w="743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宋体" w:hAnsi="宋体"/>
                <w:color w:val="000000"/>
                <w:sz w:val="21"/>
                <w:szCs w:val="21"/>
              </w:rPr>
            </w:pPr>
            <w:r>
              <w:rPr>
                <w:rFonts w:hint="eastAsia" w:ascii="宋体" w:hAnsi="宋体"/>
                <w:color w:val="000000"/>
                <w:kern w:val="0"/>
                <w:sz w:val="21"/>
                <w:szCs w:val="21"/>
              </w:rPr>
              <w:t>1.Ⅱ级A2型生物安全柜，30%气体外排，70%气体循环；　</w:t>
            </w:r>
            <w:r>
              <w:rPr>
                <w:rFonts w:hint="eastAsia" w:ascii="宋体" w:hAnsi="宋体"/>
                <w:color w:val="000000"/>
                <w:kern w:val="0"/>
                <w:sz w:val="21"/>
                <w:szCs w:val="21"/>
              </w:rPr>
              <w:br w:type="textWrapping"/>
            </w:r>
            <w:r>
              <w:rPr>
                <w:rFonts w:hint="eastAsia" w:ascii="宋体" w:hAnsi="宋体"/>
                <w:color w:val="000000"/>
                <w:kern w:val="0"/>
                <w:sz w:val="21"/>
                <w:szCs w:val="21"/>
              </w:rPr>
              <w:t>2.工作区宽度大于1500mm，适合双人操作；　</w:t>
            </w:r>
            <w:r>
              <w:rPr>
                <w:rFonts w:hint="eastAsia" w:ascii="宋体" w:hAnsi="宋体"/>
                <w:color w:val="000000"/>
                <w:kern w:val="0"/>
                <w:sz w:val="21"/>
                <w:szCs w:val="21"/>
              </w:rPr>
              <w:br w:type="textWrapping"/>
            </w:r>
            <w:r>
              <w:rPr>
                <w:rFonts w:hint="eastAsia" w:ascii="宋体" w:hAnsi="宋体"/>
                <w:color w:val="000000"/>
                <w:kern w:val="0"/>
                <w:sz w:val="21"/>
                <w:szCs w:val="21"/>
              </w:rPr>
              <w:t>3.前窗10度倾角设计，方便操作；　</w:t>
            </w:r>
            <w:r>
              <w:rPr>
                <w:rFonts w:hint="eastAsia" w:ascii="宋体" w:hAnsi="宋体"/>
                <w:color w:val="000000"/>
                <w:kern w:val="0"/>
                <w:sz w:val="21"/>
                <w:szCs w:val="21"/>
              </w:rPr>
              <w:br w:type="textWrapping"/>
            </w:r>
            <w:r>
              <w:rPr>
                <w:rFonts w:hint="eastAsia" w:ascii="宋体" w:hAnsi="宋体"/>
                <w:color w:val="000000"/>
                <w:kern w:val="0"/>
                <w:sz w:val="21"/>
                <w:szCs w:val="21"/>
              </w:rPr>
              <w:t>4.所有污染部位均应处于负压状态或被负压通道和负压通风系统包围</w:t>
            </w:r>
            <w:r>
              <w:rPr>
                <w:rFonts w:hint="eastAsia" w:ascii="宋体" w:hAnsi="宋体"/>
                <w:color w:val="000000"/>
                <w:kern w:val="0"/>
                <w:sz w:val="21"/>
                <w:szCs w:val="21"/>
              </w:rPr>
              <w:br w:type="textWrapping"/>
            </w:r>
            <w:r>
              <w:rPr>
                <w:rFonts w:hint="eastAsia" w:ascii="宋体" w:hAnsi="宋体"/>
                <w:color w:val="000000"/>
                <w:kern w:val="0"/>
                <w:sz w:val="21"/>
                <w:szCs w:val="21"/>
              </w:rPr>
              <w:t>5.玻璃门上沿有气幕保护，防止工作区内外气体交互；</w:t>
            </w:r>
            <w:r>
              <w:rPr>
                <w:rFonts w:hint="eastAsia" w:ascii="宋体" w:hAnsi="宋体"/>
                <w:color w:val="000000"/>
                <w:kern w:val="0"/>
                <w:sz w:val="21"/>
                <w:szCs w:val="21"/>
              </w:rPr>
              <w:br w:type="textWrapping"/>
            </w:r>
            <w:r>
              <w:rPr>
                <w:rFonts w:hint="eastAsia" w:ascii="宋体" w:hAnsi="宋体"/>
                <w:color w:val="000000"/>
                <w:kern w:val="0"/>
                <w:sz w:val="21"/>
                <w:szCs w:val="21"/>
              </w:rPr>
              <w:t>6.凹盘式工作台，防止液体倾洒后外溢；　</w:t>
            </w:r>
            <w:r>
              <w:rPr>
                <w:rFonts w:hint="eastAsia" w:ascii="宋体" w:hAnsi="宋体"/>
                <w:color w:val="000000"/>
                <w:kern w:val="0"/>
                <w:sz w:val="21"/>
                <w:szCs w:val="21"/>
              </w:rPr>
              <w:br w:type="textWrapping"/>
            </w:r>
            <w:r>
              <w:rPr>
                <w:rFonts w:hint="eastAsia" w:ascii="宋体" w:hAnsi="宋体"/>
                <w:color w:val="000000"/>
                <w:kern w:val="0"/>
                <w:sz w:val="21"/>
                <w:szCs w:val="21"/>
              </w:rPr>
              <w:t>7.主过滤器：采用超高效过滤器ULPA，工作区洁净度等级10级。</w:t>
            </w:r>
            <w:r>
              <w:rPr>
                <w:rFonts w:hint="eastAsia" w:ascii="宋体" w:hAnsi="宋体"/>
                <w:color w:val="000000"/>
                <w:kern w:val="0"/>
                <w:sz w:val="21"/>
                <w:szCs w:val="21"/>
              </w:rPr>
              <w:br w:type="textWrapping"/>
            </w:r>
            <w:r>
              <w:rPr>
                <w:rFonts w:hint="eastAsia" w:ascii="宋体" w:hAnsi="宋体"/>
                <w:color w:val="000000"/>
                <w:kern w:val="0"/>
                <w:sz w:val="21"/>
                <w:szCs w:val="21"/>
              </w:rPr>
              <w:t>8.负压通道专门设计异物过滤装置，防止纸屑等异物通过负压通道进入风机，过滤器影响产品正常运行</w:t>
            </w:r>
            <w:r>
              <w:rPr>
                <w:rFonts w:hint="eastAsia" w:ascii="宋体" w:hAnsi="宋体"/>
                <w:color w:val="000000"/>
                <w:kern w:val="0"/>
                <w:sz w:val="21"/>
                <w:szCs w:val="21"/>
              </w:rPr>
              <w:br w:type="textWrapping"/>
            </w:r>
            <w:r>
              <w:rPr>
                <w:rFonts w:hint="eastAsia" w:ascii="宋体" w:hAnsi="宋体"/>
                <w:color w:val="000000"/>
                <w:kern w:val="0"/>
                <w:sz w:val="21"/>
                <w:szCs w:val="21"/>
              </w:rPr>
              <w:t>9.人员保护：碘化钾法测试；</w:t>
            </w:r>
            <w:r>
              <w:rPr>
                <w:rFonts w:hint="eastAsia" w:ascii="宋体" w:hAnsi="宋体"/>
                <w:color w:val="000000"/>
                <w:kern w:val="0"/>
                <w:sz w:val="21"/>
                <w:szCs w:val="21"/>
              </w:rPr>
              <w:br w:type="textWrapping"/>
            </w:r>
            <w:r>
              <w:rPr>
                <w:rFonts w:hint="eastAsia" w:ascii="宋体" w:hAnsi="宋体"/>
                <w:color w:val="000000"/>
                <w:kern w:val="0"/>
                <w:sz w:val="21"/>
                <w:szCs w:val="21"/>
              </w:rPr>
              <w:t>10.产品保护：用YY0569标准规定方法测试，在琼脂培养皿上的枯草芽孢杆菌芽孢不超过5CFU；</w:t>
            </w:r>
            <w:r>
              <w:rPr>
                <w:rFonts w:hint="eastAsia" w:ascii="宋体" w:hAnsi="宋体"/>
                <w:color w:val="000000"/>
                <w:kern w:val="0"/>
                <w:sz w:val="21"/>
                <w:szCs w:val="21"/>
              </w:rPr>
              <w:br w:type="textWrapping"/>
            </w:r>
            <w:r>
              <w:rPr>
                <w:rFonts w:hint="eastAsia" w:ascii="宋体" w:hAnsi="宋体"/>
                <w:color w:val="000000"/>
                <w:kern w:val="0"/>
                <w:sz w:val="21"/>
                <w:szCs w:val="21"/>
              </w:rPr>
              <w:t>11.交叉污染保护：用YY0569标准规定方法测试，在琼脂培养皿上的枯草芽孢杆菌芽孢不超过2CFU；</w:t>
            </w:r>
            <w:r>
              <w:rPr>
                <w:rFonts w:hint="eastAsia" w:ascii="宋体" w:hAnsi="宋体"/>
                <w:color w:val="000000"/>
                <w:kern w:val="0"/>
                <w:sz w:val="21"/>
                <w:szCs w:val="21"/>
              </w:rPr>
              <w:br w:type="textWrapping"/>
            </w:r>
            <w:r>
              <w:rPr>
                <w:rFonts w:hint="eastAsia" w:ascii="宋体" w:hAnsi="宋体"/>
                <w:color w:val="000000"/>
                <w:kern w:val="0"/>
                <w:sz w:val="21"/>
                <w:szCs w:val="21"/>
              </w:rPr>
              <w:t>12.前窗玻璃手拉式开启，不得使用电控，以保证断电时能及时关门防护；</w:t>
            </w:r>
            <w:r>
              <w:rPr>
                <w:rFonts w:hint="eastAsia" w:ascii="宋体" w:hAnsi="宋体"/>
                <w:color w:val="000000"/>
                <w:kern w:val="0"/>
                <w:sz w:val="21"/>
                <w:szCs w:val="21"/>
              </w:rPr>
              <w:br w:type="textWrapping"/>
            </w:r>
            <w:r>
              <w:rPr>
                <w:rFonts w:hint="eastAsia" w:ascii="宋体" w:hAnsi="宋体"/>
                <w:color w:val="000000"/>
                <w:kern w:val="0"/>
                <w:sz w:val="21"/>
                <w:szCs w:val="21"/>
              </w:rPr>
              <w:t>13.用数字显示过滤器剩余使用寿命，在使用寿命剩余10%时自动提示；</w:t>
            </w:r>
            <w:r>
              <w:rPr>
                <w:rFonts w:hint="eastAsia" w:ascii="宋体" w:hAnsi="宋体"/>
                <w:color w:val="000000"/>
                <w:kern w:val="0"/>
                <w:sz w:val="21"/>
                <w:szCs w:val="21"/>
              </w:rPr>
              <w:br w:type="textWrapping"/>
            </w:r>
            <w:r>
              <w:rPr>
                <w:rFonts w:hint="eastAsia" w:ascii="宋体" w:hAnsi="宋体"/>
                <w:color w:val="000000"/>
                <w:kern w:val="0"/>
                <w:sz w:val="21"/>
                <w:szCs w:val="21"/>
              </w:rPr>
              <w:t>14.有过滤器监测功能，过滤器堵塞或破损均有声光报警提示；</w:t>
            </w:r>
          </w:p>
        </w:tc>
      </w:tr>
      <w:tr>
        <w:tblPrEx>
          <w:tblCellMar>
            <w:top w:w="0" w:type="dxa"/>
            <w:left w:w="0" w:type="dxa"/>
            <w:bottom w:w="0" w:type="dxa"/>
            <w:right w:w="0" w:type="dxa"/>
          </w:tblCellMar>
        </w:tblPrEx>
        <w:trPr>
          <w:trHeight w:val="1075" w:hRule="atLeast"/>
        </w:trPr>
        <w:tc>
          <w:tcPr>
            <w:tcW w:w="711"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hAnsi="宋体"/>
                <w:b/>
                <w:color w:val="000000"/>
                <w:sz w:val="21"/>
                <w:szCs w:val="21"/>
              </w:rPr>
            </w:pPr>
          </w:p>
        </w:tc>
        <w:tc>
          <w:tcPr>
            <w:tcW w:w="4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olor w:val="000000"/>
                <w:sz w:val="21"/>
                <w:szCs w:val="21"/>
              </w:rPr>
            </w:pPr>
            <w:r>
              <w:rPr>
                <w:rFonts w:hint="eastAsia" w:ascii="宋体" w:hAnsi="宋体"/>
                <w:color w:val="000000"/>
                <w:kern w:val="0"/>
                <w:sz w:val="21"/>
                <w:szCs w:val="21"/>
              </w:rPr>
              <w:t>7</w:t>
            </w:r>
          </w:p>
        </w:tc>
        <w:tc>
          <w:tcPr>
            <w:tcW w:w="7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olor w:val="000000"/>
                <w:sz w:val="21"/>
                <w:szCs w:val="21"/>
              </w:rPr>
            </w:pPr>
            <w:r>
              <w:rPr>
                <w:rFonts w:hint="eastAsia" w:ascii="宋体" w:hAnsi="宋体"/>
                <w:color w:val="000000"/>
                <w:kern w:val="0"/>
                <w:sz w:val="21"/>
                <w:szCs w:val="21"/>
              </w:rPr>
              <w:t>微型低速离心机</w:t>
            </w:r>
          </w:p>
        </w:tc>
        <w:tc>
          <w:tcPr>
            <w:tcW w:w="60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olor w:val="000000"/>
                <w:sz w:val="21"/>
                <w:szCs w:val="21"/>
              </w:rPr>
            </w:pPr>
            <w:r>
              <w:rPr>
                <w:rFonts w:hint="eastAsia" w:ascii="宋体" w:hAnsi="宋体"/>
                <w:color w:val="000000"/>
                <w:kern w:val="0"/>
                <w:sz w:val="21"/>
                <w:szCs w:val="21"/>
              </w:rPr>
              <w:t>4台</w:t>
            </w:r>
          </w:p>
        </w:tc>
        <w:tc>
          <w:tcPr>
            <w:tcW w:w="743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宋体" w:hAnsi="宋体"/>
                <w:color w:val="000000"/>
                <w:sz w:val="21"/>
                <w:szCs w:val="21"/>
              </w:rPr>
            </w:pPr>
            <w:r>
              <w:rPr>
                <w:rFonts w:hint="eastAsia" w:ascii="宋体" w:hAnsi="宋体"/>
                <w:color w:val="000000"/>
                <w:kern w:val="0"/>
                <w:sz w:val="21"/>
                <w:szCs w:val="21"/>
              </w:rPr>
              <w:t>1. 外形精巧，色彩绚丽，流线型设计，体积小</w:t>
            </w:r>
            <w:r>
              <w:rPr>
                <w:rFonts w:hint="eastAsia" w:ascii="宋体" w:hAnsi="宋体"/>
                <w:color w:val="000000"/>
                <w:kern w:val="0"/>
                <w:sz w:val="21"/>
                <w:szCs w:val="21"/>
              </w:rPr>
              <w:br w:type="textWrapping"/>
            </w:r>
            <w:r>
              <w:rPr>
                <w:rFonts w:hint="eastAsia" w:ascii="宋体" w:hAnsi="宋体"/>
                <w:color w:val="000000"/>
                <w:kern w:val="0"/>
                <w:sz w:val="21"/>
                <w:szCs w:val="21"/>
              </w:rPr>
              <w:t>2. 静音技术，低噪音运行</w:t>
            </w:r>
            <w:r>
              <w:rPr>
                <w:rFonts w:hint="eastAsia" w:ascii="宋体" w:hAnsi="宋体"/>
                <w:color w:val="000000"/>
                <w:kern w:val="0"/>
                <w:sz w:val="21"/>
                <w:szCs w:val="21"/>
              </w:rPr>
              <w:br w:type="textWrapping"/>
            </w:r>
            <w:r>
              <w:rPr>
                <w:rFonts w:hint="eastAsia" w:ascii="宋体" w:hAnsi="宋体"/>
                <w:color w:val="000000"/>
                <w:kern w:val="0"/>
                <w:sz w:val="21"/>
                <w:szCs w:val="21"/>
              </w:rPr>
              <w:t>3. 采用微型直流电机和碳纤维转头</w:t>
            </w:r>
            <w:r>
              <w:rPr>
                <w:rFonts w:hint="eastAsia" w:ascii="宋体" w:hAnsi="宋体"/>
                <w:color w:val="000000"/>
                <w:kern w:val="0"/>
                <w:sz w:val="21"/>
                <w:szCs w:val="21"/>
              </w:rPr>
              <w:br w:type="textWrapping"/>
            </w:r>
            <w:r>
              <w:rPr>
                <w:rFonts w:hint="eastAsia" w:ascii="宋体" w:hAnsi="宋体"/>
                <w:color w:val="000000"/>
                <w:kern w:val="0"/>
                <w:sz w:val="21"/>
                <w:szCs w:val="21"/>
              </w:rPr>
              <w:t>4. 相对离心力：2,000g</w:t>
            </w:r>
            <w:r>
              <w:rPr>
                <w:rFonts w:hint="eastAsia" w:ascii="宋体" w:hAnsi="宋体"/>
                <w:color w:val="000000"/>
                <w:kern w:val="0"/>
                <w:sz w:val="21"/>
                <w:szCs w:val="21"/>
              </w:rPr>
              <w:br w:type="textWrapping"/>
            </w:r>
            <w:r>
              <w:rPr>
                <w:rFonts w:hint="eastAsia" w:ascii="宋体" w:hAnsi="宋体"/>
                <w:color w:val="000000"/>
                <w:kern w:val="0"/>
                <w:sz w:val="21"/>
                <w:szCs w:val="21"/>
              </w:rPr>
              <w:t>5. 转速：6,000rpm</w:t>
            </w:r>
            <w:r>
              <w:rPr>
                <w:rFonts w:hint="eastAsia" w:ascii="宋体" w:hAnsi="宋体"/>
                <w:color w:val="000000"/>
                <w:kern w:val="0"/>
                <w:sz w:val="21"/>
                <w:szCs w:val="21"/>
              </w:rPr>
              <w:br w:type="textWrapping"/>
            </w:r>
            <w:r>
              <w:rPr>
                <w:rFonts w:hint="eastAsia" w:ascii="宋体" w:hAnsi="宋体"/>
                <w:color w:val="000000"/>
                <w:kern w:val="0"/>
                <w:sz w:val="21"/>
                <w:szCs w:val="21"/>
              </w:rPr>
              <w:t>6. 样品处理量： 6x1.5ml/2.0ml或2x8x0.2ml</w:t>
            </w:r>
          </w:p>
        </w:tc>
      </w:tr>
      <w:tr>
        <w:tblPrEx>
          <w:tblCellMar>
            <w:top w:w="0" w:type="dxa"/>
            <w:left w:w="0" w:type="dxa"/>
            <w:bottom w:w="0" w:type="dxa"/>
            <w:right w:w="0" w:type="dxa"/>
          </w:tblCellMar>
        </w:tblPrEx>
        <w:trPr>
          <w:trHeight w:val="725" w:hRule="atLeast"/>
        </w:trPr>
        <w:tc>
          <w:tcPr>
            <w:tcW w:w="711"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hAnsi="宋体"/>
                <w:b/>
                <w:color w:val="000000"/>
                <w:sz w:val="21"/>
                <w:szCs w:val="21"/>
              </w:rPr>
            </w:pPr>
          </w:p>
        </w:tc>
        <w:tc>
          <w:tcPr>
            <w:tcW w:w="435"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pPr>
              <w:widowControl/>
              <w:jc w:val="center"/>
              <w:textAlignment w:val="center"/>
              <w:rPr>
                <w:rFonts w:ascii="宋体" w:hAnsi="宋体"/>
                <w:color w:val="000000"/>
                <w:sz w:val="21"/>
                <w:szCs w:val="21"/>
              </w:rPr>
            </w:pPr>
            <w:r>
              <w:rPr>
                <w:rFonts w:hint="eastAsia" w:ascii="宋体" w:hAnsi="宋体"/>
                <w:color w:val="000000"/>
                <w:kern w:val="0"/>
                <w:sz w:val="21"/>
                <w:szCs w:val="21"/>
              </w:rPr>
              <w:t>8</w:t>
            </w:r>
          </w:p>
        </w:tc>
        <w:tc>
          <w:tcPr>
            <w:tcW w:w="7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olor w:val="000000"/>
                <w:sz w:val="21"/>
                <w:szCs w:val="21"/>
              </w:rPr>
            </w:pPr>
            <w:r>
              <w:rPr>
                <w:rFonts w:hint="eastAsia" w:ascii="宋体" w:hAnsi="宋体"/>
                <w:color w:val="000000"/>
                <w:kern w:val="0"/>
                <w:sz w:val="21"/>
                <w:szCs w:val="21"/>
              </w:rPr>
              <w:t>单道可调量程移液器（进口产品）</w:t>
            </w:r>
          </w:p>
        </w:tc>
        <w:tc>
          <w:tcPr>
            <w:tcW w:w="60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olor w:val="000000"/>
                <w:sz w:val="21"/>
                <w:szCs w:val="21"/>
              </w:rPr>
            </w:pPr>
            <w:r>
              <w:rPr>
                <w:rFonts w:hint="eastAsia" w:ascii="宋体" w:hAnsi="宋体"/>
                <w:color w:val="000000"/>
                <w:kern w:val="0"/>
                <w:sz w:val="21"/>
                <w:szCs w:val="21"/>
              </w:rPr>
              <w:t>5把</w:t>
            </w:r>
          </w:p>
        </w:tc>
        <w:tc>
          <w:tcPr>
            <w:tcW w:w="7430" w:type="dxa"/>
            <w:tcBorders>
              <w:top w:val="single" w:color="000000" w:sz="4" w:space="0"/>
              <w:left w:val="single" w:color="000000" w:sz="4" w:space="0"/>
              <w:bottom w:val="nil"/>
              <w:right w:val="single" w:color="000000" w:sz="4" w:space="0"/>
            </w:tcBorders>
            <w:tcMar>
              <w:top w:w="15" w:type="dxa"/>
              <w:left w:w="15" w:type="dxa"/>
              <w:right w:w="15" w:type="dxa"/>
            </w:tcMar>
            <w:vAlign w:val="center"/>
          </w:tcPr>
          <w:p>
            <w:pPr>
              <w:widowControl/>
              <w:jc w:val="left"/>
              <w:textAlignment w:val="center"/>
              <w:rPr>
                <w:rFonts w:ascii="宋体" w:hAnsi="宋体"/>
                <w:color w:val="000000"/>
                <w:kern w:val="0"/>
                <w:sz w:val="18"/>
                <w:szCs w:val="18"/>
              </w:rPr>
            </w:pPr>
            <w:r>
              <w:rPr>
                <w:rFonts w:hint="eastAsia" w:ascii="宋体" w:hAnsi="宋体"/>
                <w:color w:val="000000"/>
                <w:kern w:val="0"/>
                <w:sz w:val="18"/>
                <w:szCs w:val="18"/>
              </w:rPr>
              <w:t>0.5-10ul</w:t>
            </w:r>
          </w:p>
          <w:p>
            <w:pPr>
              <w:widowControl/>
              <w:jc w:val="left"/>
              <w:textAlignment w:val="center"/>
              <w:rPr>
                <w:rFonts w:ascii="宋体" w:hAnsi="宋体"/>
                <w:color w:val="000000"/>
                <w:kern w:val="0"/>
                <w:sz w:val="21"/>
                <w:szCs w:val="21"/>
              </w:rPr>
            </w:pPr>
            <w:r>
              <w:rPr>
                <w:rFonts w:hint="eastAsia" w:ascii="宋体" w:hAnsi="宋体"/>
                <w:color w:val="000000"/>
                <w:kern w:val="0"/>
                <w:sz w:val="21"/>
                <w:szCs w:val="21"/>
              </w:rPr>
              <w:t>气体活塞式移液器用于水性溶液的准确移液</w:t>
            </w:r>
          </w:p>
          <w:p>
            <w:pPr>
              <w:widowControl/>
              <w:jc w:val="left"/>
              <w:textAlignment w:val="center"/>
              <w:rPr>
                <w:rFonts w:ascii="宋体" w:hAnsi="宋体"/>
                <w:color w:val="000000"/>
                <w:sz w:val="21"/>
                <w:szCs w:val="21"/>
              </w:rPr>
            </w:pPr>
            <w:r>
              <w:rPr>
                <w:rFonts w:hint="eastAsia" w:ascii="宋体" w:hAnsi="宋体"/>
                <w:color w:val="000000"/>
                <w:kern w:val="0"/>
                <w:sz w:val="21"/>
                <w:szCs w:val="21"/>
              </w:rPr>
              <w:t>感受重量和移液用力的差异： 超轻机械移液器设计符合 PhysioCare Concept 的严格标准，可减少手部和臂部的用力。</w:t>
            </w:r>
            <w:r>
              <w:rPr>
                <w:rFonts w:hint="eastAsia" w:ascii="宋体" w:hAnsi="宋体"/>
                <w:color w:val="000000"/>
                <w:kern w:val="0"/>
                <w:sz w:val="21"/>
                <w:szCs w:val="21"/>
              </w:rPr>
              <w:br w:type="textWrapping"/>
            </w:r>
            <w:r>
              <w:rPr>
                <w:rFonts w:hint="eastAsia" w:ascii="宋体" w:hAnsi="宋体"/>
                <w:color w:val="000000"/>
                <w:kern w:val="0"/>
                <w:sz w:val="21"/>
                <w:szCs w:val="21"/>
              </w:rPr>
              <w:t>弹性吸嘴（适用于最大为 1 mL 的所有移液器）大幅减轻吸头装配用力，有助于降低劳损</w:t>
            </w:r>
            <w:r>
              <w:rPr>
                <w:rFonts w:hint="eastAsia" w:ascii="宋体" w:hAnsi="宋体"/>
                <w:color w:val="000000"/>
                <w:kern w:val="0"/>
                <w:sz w:val="21"/>
                <w:szCs w:val="21"/>
              </w:rPr>
              <w:br w:type="textWrapping"/>
            </w:r>
            <w:r>
              <w:rPr>
                <w:rFonts w:hint="eastAsia" w:ascii="宋体" w:hAnsi="宋体"/>
                <w:color w:val="000000"/>
                <w:kern w:val="0"/>
                <w:sz w:val="21"/>
                <w:szCs w:val="21"/>
              </w:rPr>
              <w:t xml:space="preserve"> Research plus 的吸头脱卸用力小 (3.6 N)</w:t>
            </w:r>
            <w:r>
              <w:rPr>
                <w:rFonts w:hint="eastAsia" w:ascii="宋体" w:hAnsi="宋体"/>
                <w:color w:val="000000"/>
                <w:kern w:val="0"/>
                <w:sz w:val="21"/>
                <w:szCs w:val="21"/>
              </w:rPr>
              <w:br w:type="textWrapping"/>
            </w:r>
            <w:r>
              <w:rPr>
                <w:rFonts w:hint="eastAsia" w:ascii="宋体" w:hAnsi="宋体"/>
                <w:color w:val="000000"/>
                <w:kern w:val="0"/>
                <w:sz w:val="21"/>
                <w:szCs w:val="21"/>
              </w:rPr>
              <w:t>对各种难处理的液体（比如乙醇）进行移液，或在高海拔地区移液时，可在数秒内调节您的移液器。 无需校准即可恢复出厂设置</w:t>
            </w:r>
            <w:r>
              <w:rPr>
                <w:rFonts w:hint="eastAsia" w:ascii="宋体" w:hAnsi="宋体"/>
                <w:color w:val="000000"/>
                <w:kern w:val="0"/>
                <w:sz w:val="21"/>
                <w:szCs w:val="21"/>
              </w:rPr>
              <w:br w:type="textWrapping"/>
            </w:r>
            <w:r>
              <w:rPr>
                <w:rFonts w:hint="eastAsia" w:ascii="宋体" w:hAnsi="宋体"/>
                <w:color w:val="000000"/>
                <w:kern w:val="0"/>
                <w:sz w:val="21"/>
                <w:szCs w:val="21"/>
              </w:rPr>
              <w:t>可根据您的要求对整支移液器或仅对移液器下半部分进行高温高压灭菌，确保消除污染。</w:t>
            </w:r>
          </w:p>
        </w:tc>
      </w:tr>
      <w:tr>
        <w:tblPrEx>
          <w:tblCellMar>
            <w:top w:w="0" w:type="dxa"/>
            <w:left w:w="0" w:type="dxa"/>
            <w:bottom w:w="0" w:type="dxa"/>
            <w:right w:w="0" w:type="dxa"/>
          </w:tblCellMar>
        </w:tblPrEx>
        <w:trPr>
          <w:trHeight w:val="1660" w:hRule="atLeast"/>
        </w:trPr>
        <w:tc>
          <w:tcPr>
            <w:tcW w:w="711"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hAnsi="宋体"/>
                <w:b/>
                <w:color w:val="000000"/>
                <w:sz w:val="21"/>
                <w:szCs w:val="21"/>
              </w:rPr>
            </w:pPr>
          </w:p>
        </w:tc>
        <w:tc>
          <w:tcPr>
            <w:tcW w:w="435" w:type="dxa"/>
            <w:tcBorders>
              <w:top w:val="single" w:color="auto" w:sz="4" w:space="0"/>
              <w:left w:val="single" w:color="000000" w:sz="4" w:space="0"/>
              <w:bottom w:val="single" w:color="auto" w:sz="4" w:space="0"/>
              <w:right w:val="single" w:color="000000" w:sz="4" w:space="0"/>
            </w:tcBorders>
            <w:tcMar>
              <w:top w:w="15" w:type="dxa"/>
              <w:left w:w="15" w:type="dxa"/>
              <w:right w:w="15" w:type="dxa"/>
            </w:tcMar>
            <w:vAlign w:val="center"/>
          </w:tcPr>
          <w:p>
            <w:pPr>
              <w:jc w:val="center"/>
              <w:rPr>
                <w:rFonts w:ascii="宋体" w:hAnsi="宋体"/>
                <w:color w:val="000000"/>
                <w:sz w:val="21"/>
                <w:szCs w:val="21"/>
              </w:rPr>
            </w:pPr>
            <w:r>
              <w:rPr>
                <w:rFonts w:hint="eastAsia" w:ascii="宋体" w:hAnsi="宋体"/>
                <w:color w:val="000000"/>
                <w:sz w:val="21"/>
                <w:szCs w:val="21"/>
              </w:rPr>
              <w:t>9</w:t>
            </w:r>
          </w:p>
        </w:tc>
        <w:tc>
          <w:tcPr>
            <w:tcW w:w="7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heme="majorEastAsia" w:hAnsiTheme="majorEastAsia" w:eastAsiaTheme="majorEastAsia"/>
                <w:color w:val="000000"/>
                <w:kern w:val="0"/>
                <w:sz w:val="21"/>
                <w:szCs w:val="21"/>
              </w:rPr>
            </w:pPr>
            <w:r>
              <w:rPr>
                <w:rFonts w:hint="eastAsia" w:asciiTheme="majorEastAsia" w:hAnsiTheme="majorEastAsia" w:eastAsiaTheme="majorEastAsia"/>
                <w:color w:val="000000"/>
                <w:kern w:val="0"/>
                <w:sz w:val="21"/>
                <w:szCs w:val="21"/>
              </w:rPr>
              <w:t>单道可调量程移液器</w:t>
            </w:r>
          </w:p>
          <w:p>
            <w:pPr>
              <w:pStyle w:val="34"/>
              <w:ind w:firstLine="0" w:firstLineChars="0"/>
              <w:rPr>
                <w:rFonts w:asciiTheme="majorEastAsia" w:hAnsiTheme="majorEastAsia" w:eastAsiaTheme="majorEastAsia"/>
              </w:rPr>
            </w:pPr>
            <w:r>
              <w:rPr>
                <w:rFonts w:hint="eastAsia" w:asciiTheme="majorEastAsia" w:hAnsiTheme="majorEastAsia" w:eastAsiaTheme="majorEastAsia"/>
                <w:color w:val="000000"/>
                <w:kern w:val="0"/>
                <w:sz w:val="21"/>
                <w:szCs w:val="21"/>
              </w:rPr>
              <w:t>（进口产品）</w:t>
            </w:r>
          </w:p>
        </w:tc>
        <w:tc>
          <w:tcPr>
            <w:tcW w:w="60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heme="majorEastAsia" w:hAnsiTheme="majorEastAsia" w:eastAsiaTheme="majorEastAsia"/>
                <w:color w:val="000000"/>
                <w:sz w:val="21"/>
                <w:szCs w:val="21"/>
              </w:rPr>
            </w:pPr>
            <w:r>
              <w:rPr>
                <w:rFonts w:hint="eastAsia" w:asciiTheme="majorEastAsia" w:hAnsiTheme="majorEastAsia" w:eastAsiaTheme="majorEastAsia"/>
                <w:color w:val="000000"/>
                <w:kern w:val="0"/>
                <w:sz w:val="21"/>
                <w:szCs w:val="21"/>
              </w:rPr>
              <w:t>5把</w:t>
            </w:r>
          </w:p>
        </w:tc>
        <w:tc>
          <w:tcPr>
            <w:tcW w:w="7430" w:type="dxa"/>
            <w:tcBorders>
              <w:top w:val="single" w:color="000000" w:sz="4" w:space="0"/>
              <w:left w:val="single" w:color="000000" w:sz="4" w:space="0"/>
              <w:bottom w:val="nil"/>
              <w:right w:val="single" w:color="000000" w:sz="4" w:space="0"/>
            </w:tcBorders>
            <w:tcMar>
              <w:top w:w="15" w:type="dxa"/>
              <w:left w:w="15" w:type="dxa"/>
              <w:right w:w="15" w:type="dxa"/>
            </w:tcMar>
            <w:vAlign w:val="center"/>
          </w:tcPr>
          <w:p>
            <w:pPr>
              <w:widowControl/>
              <w:jc w:val="left"/>
              <w:textAlignment w:val="center"/>
              <w:rPr>
                <w:rFonts w:ascii="宋体" w:hAnsi="宋体"/>
                <w:color w:val="000000"/>
                <w:kern w:val="0"/>
                <w:sz w:val="21"/>
                <w:szCs w:val="21"/>
              </w:rPr>
            </w:pPr>
            <w:r>
              <w:rPr>
                <w:rFonts w:hint="eastAsia" w:ascii="宋体" w:hAnsi="宋体"/>
                <w:color w:val="000000"/>
                <w:kern w:val="0"/>
                <w:sz w:val="18"/>
                <w:szCs w:val="18"/>
              </w:rPr>
              <w:t>2-20ul</w:t>
            </w:r>
          </w:p>
          <w:p>
            <w:pPr>
              <w:widowControl/>
              <w:jc w:val="left"/>
              <w:textAlignment w:val="center"/>
              <w:rPr>
                <w:rFonts w:ascii="宋体" w:hAnsi="宋体"/>
                <w:color w:val="000000"/>
                <w:sz w:val="21"/>
                <w:szCs w:val="21"/>
              </w:rPr>
            </w:pPr>
            <w:r>
              <w:rPr>
                <w:rFonts w:hint="eastAsia" w:ascii="宋体" w:hAnsi="宋体"/>
                <w:color w:val="000000"/>
                <w:kern w:val="0"/>
                <w:sz w:val="21"/>
                <w:szCs w:val="21"/>
              </w:rPr>
              <w:t>气体活塞式移液器用于水性溶液的准确移液</w:t>
            </w:r>
            <w:r>
              <w:rPr>
                <w:rFonts w:hint="eastAsia" w:ascii="宋体" w:hAnsi="宋体"/>
                <w:color w:val="000000"/>
                <w:kern w:val="0"/>
                <w:sz w:val="21"/>
                <w:szCs w:val="21"/>
              </w:rPr>
              <w:br w:type="textWrapping"/>
            </w:r>
            <w:r>
              <w:rPr>
                <w:rFonts w:hint="eastAsia" w:ascii="宋体" w:hAnsi="宋体"/>
                <w:color w:val="000000"/>
                <w:kern w:val="0"/>
                <w:sz w:val="21"/>
                <w:szCs w:val="21"/>
              </w:rPr>
              <w:t>感受重量和移液用力的差异： 超轻机械移液器设计符合 PhysioCare Concept 的严格标准，可减少手部和臂部的用力。</w:t>
            </w:r>
            <w:r>
              <w:rPr>
                <w:rFonts w:hint="eastAsia" w:ascii="宋体" w:hAnsi="宋体"/>
                <w:color w:val="000000"/>
                <w:kern w:val="0"/>
                <w:sz w:val="21"/>
                <w:szCs w:val="21"/>
              </w:rPr>
              <w:br w:type="textWrapping"/>
            </w:r>
            <w:r>
              <w:rPr>
                <w:rFonts w:hint="eastAsia" w:ascii="宋体" w:hAnsi="宋体"/>
                <w:color w:val="000000"/>
                <w:kern w:val="0"/>
                <w:sz w:val="21"/>
                <w:szCs w:val="21"/>
              </w:rPr>
              <w:t>弹性吸嘴（适用于最大为 1 mL 的所有移液器）大幅减轻吸头装配用力，有助于降低劳损</w:t>
            </w:r>
            <w:r>
              <w:rPr>
                <w:rFonts w:hint="eastAsia" w:ascii="宋体" w:hAnsi="宋体"/>
                <w:color w:val="000000"/>
                <w:kern w:val="0"/>
                <w:sz w:val="21"/>
                <w:szCs w:val="21"/>
              </w:rPr>
              <w:br w:type="textWrapping"/>
            </w:r>
            <w:r>
              <w:rPr>
                <w:rFonts w:hint="eastAsia" w:ascii="宋体" w:hAnsi="宋体"/>
                <w:color w:val="000000"/>
                <w:kern w:val="0"/>
                <w:sz w:val="21"/>
                <w:szCs w:val="21"/>
              </w:rPr>
              <w:t>Research plus 的吸头脱卸用力小 (3.6 N)</w:t>
            </w:r>
            <w:r>
              <w:rPr>
                <w:rFonts w:hint="eastAsia" w:ascii="宋体" w:hAnsi="宋体"/>
                <w:color w:val="000000"/>
                <w:kern w:val="0"/>
                <w:sz w:val="21"/>
                <w:szCs w:val="21"/>
              </w:rPr>
              <w:br w:type="textWrapping"/>
            </w:r>
            <w:r>
              <w:rPr>
                <w:rFonts w:hint="eastAsia" w:ascii="宋体" w:hAnsi="宋体"/>
                <w:color w:val="000000"/>
                <w:kern w:val="0"/>
                <w:sz w:val="21"/>
                <w:szCs w:val="21"/>
              </w:rPr>
              <w:t>对各种难处理的液体（比如乙醇）进行移液，或在高海拔地区移液时，可在数秒内调节您的移液器。 无需校准即可恢复出厂设置</w:t>
            </w:r>
            <w:r>
              <w:rPr>
                <w:rFonts w:hint="eastAsia" w:ascii="宋体" w:hAnsi="宋体"/>
                <w:color w:val="000000"/>
                <w:kern w:val="0"/>
                <w:sz w:val="21"/>
                <w:szCs w:val="21"/>
              </w:rPr>
              <w:br w:type="textWrapping"/>
            </w:r>
            <w:r>
              <w:rPr>
                <w:rFonts w:hint="eastAsia" w:ascii="宋体" w:hAnsi="宋体"/>
                <w:color w:val="000000"/>
                <w:kern w:val="0"/>
                <w:sz w:val="21"/>
                <w:szCs w:val="21"/>
              </w:rPr>
              <w:t>可根据您的要求对整支移液器或仅对移液器下半部分进行高温高压灭菌，确保消除污染。</w:t>
            </w:r>
          </w:p>
        </w:tc>
      </w:tr>
      <w:tr>
        <w:tblPrEx>
          <w:tblCellMar>
            <w:top w:w="0" w:type="dxa"/>
            <w:left w:w="0" w:type="dxa"/>
            <w:bottom w:w="0" w:type="dxa"/>
            <w:right w:w="0" w:type="dxa"/>
          </w:tblCellMar>
        </w:tblPrEx>
        <w:trPr>
          <w:trHeight w:val="90" w:hRule="atLeast"/>
        </w:trPr>
        <w:tc>
          <w:tcPr>
            <w:tcW w:w="711"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hAnsi="宋体"/>
                <w:b/>
                <w:color w:val="000000"/>
                <w:sz w:val="21"/>
                <w:szCs w:val="21"/>
              </w:rPr>
            </w:pPr>
          </w:p>
        </w:tc>
        <w:tc>
          <w:tcPr>
            <w:tcW w:w="435" w:type="dxa"/>
            <w:tcBorders>
              <w:top w:val="single" w:color="auto" w:sz="4" w:space="0"/>
              <w:left w:val="single" w:color="000000" w:sz="4" w:space="0"/>
              <w:bottom w:val="single" w:color="auto" w:sz="4" w:space="0"/>
              <w:right w:val="single" w:color="000000" w:sz="4" w:space="0"/>
            </w:tcBorders>
            <w:tcMar>
              <w:top w:w="15" w:type="dxa"/>
              <w:left w:w="15" w:type="dxa"/>
              <w:right w:w="15" w:type="dxa"/>
            </w:tcMar>
            <w:vAlign w:val="center"/>
          </w:tcPr>
          <w:p>
            <w:pPr>
              <w:jc w:val="center"/>
              <w:rPr>
                <w:rFonts w:ascii="宋体" w:hAnsi="宋体"/>
                <w:color w:val="000000"/>
                <w:sz w:val="21"/>
                <w:szCs w:val="21"/>
              </w:rPr>
            </w:pPr>
            <w:r>
              <w:rPr>
                <w:rFonts w:hint="eastAsia" w:ascii="宋体" w:hAnsi="宋体"/>
                <w:color w:val="000000"/>
                <w:sz w:val="21"/>
                <w:szCs w:val="21"/>
              </w:rPr>
              <w:t>10</w:t>
            </w:r>
          </w:p>
        </w:tc>
        <w:tc>
          <w:tcPr>
            <w:tcW w:w="7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olor w:val="000000"/>
                <w:kern w:val="0"/>
                <w:sz w:val="21"/>
                <w:szCs w:val="21"/>
              </w:rPr>
            </w:pPr>
            <w:r>
              <w:rPr>
                <w:rFonts w:hint="eastAsia" w:ascii="宋体" w:hAnsi="宋体"/>
                <w:color w:val="000000"/>
                <w:kern w:val="0"/>
                <w:sz w:val="21"/>
                <w:szCs w:val="21"/>
              </w:rPr>
              <w:t>单道可调量程移液器</w:t>
            </w:r>
          </w:p>
          <w:p>
            <w:pPr>
              <w:pStyle w:val="34"/>
              <w:ind w:firstLine="0" w:firstLineChars="0"/>
              <w:rPr>
                <w:rFonts w:asciiTheme="minorEastAsia" w:hAnsiTheme="minorEastAsia" w:eastAsiaTheme="minorEastAsia"/>
              </w:rPr>
            </w:pPr>
            <w:r>
              <w:rPr>
                <w:rFonts w:hint="eastAsia" w:asciiTheme="minorEastAsia" w:hAnsiTheme="minorEastAsia" w:eastAsiaTheme="minorEastAsia"/>
                <w:color w:val="000000"/>
                <w:kern w:val="0"/>
                <w:sz w:val="21"/>
                <w:szCs w:val="21"/>
              </w:rPr>
              <w:t>（进口产品）</w:t>
            </w:r>
          </w:p>
        </w:tc>
        <w:tc>
          <w:tcPr>
            <w:tcW w:w="60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olor w:val="000000"/>
                <w:sz w:val="21"/>
                <w:szCs w:val="21"/>
              </w:rPr>
            </w:pPr>
            <w:r>
              <w:rPr>
                <w:rFonts w:hint="eastAsia" w:ascii="宋体" w:hAnsi="宋体"/>
                <w:color w:val="000000"/>
                <w:kern w:val="0"/>
                <w:sz w:val="21"/>
                <w:szCs w:val="21"/>
              </w:rPr>
              <w:t>5把</w:t>
            </w:r>
          </w:p>
        </w:tc>
        <w:tc>
          <w:tcPr>
            <w:tcW w:w="7430" w:type="dxa"/>
            <w:tcBorders>
              <w:top w:val="single" w:color="000000" w:sz="4" w:space="0"/>
              <w:left w:val="single" w:color="000000" w:sz="4" w:space="0"/>
              <w:bottom w:val="nil"/>
              <w:right w:val="single" w:color="000000" w:sz="4" w:space="0"/>
            </w:tcBorders>
            <w:tcMar>
              <w:top w:w="15" w:type="dxa"/>
              <w:left w:w="15" w:type="dxa"/>
              <w:right w:w="15" w:type="dxa"/>
            </w:tcMar>
            <w:vAlign w:val="center"/>
          </w:tcPr>
          <w:p>
            <w:pPr>
              <w:widowControl/>
              <w:jc w:val="left"/>
              <w:textAlignment w:val="center"/>
              <w:rPr>
                <w:rFonts w:ascii="宋体" w:hAnsi="宋体"/>
                <w:color w:val="000000"/>
                <w:kern w:val="0"/>
                <w:sz w:val="21"/>
                <w:szCs w:val="21"/>
              </w:rPr>
            </w:pPr>
            <w:r>
              <w:rPr>
                <w:rFonts w:hint="eastAsia" w:ascii="宋体" w:hAnsi="宋体"/>
                <w:color w:val="000000"/>
                <w:kern w:val="0"/>
                <w:sz w:val="18"/>
                <w:szCs w:val="18"/>
              </w:rPr>
              <w:t>20-200ul</w:t>
            </w:r>
          </w:p>
          <w:p>
            <w:pPr>
              <w:widowControl/>
              <w:jc w:val="left"/>
              <w:textAlignment w:val="center"/>
              <w:rPr>
                <w:rFonts w:ascii="宋体" w:hAnsi="宋体"/>
                <w:color w:val="000000"/>
                <w:sz w:val="21"/>
                <w:szCs w:val="21"/>
              </w:rPr>
            </w:pPr>
            <w:r>
              <w:rPr>
                <w:rFonts w:hint="eastAsia" w:ascii="宋体" w:hAnsi="宋体"/>
                <w:color w:val="000000"/>
                <w:kern w:val="0"/>
                <w:sz w:val="21"/>
                <w:szCs w:val="21"/>
              </w:rPr>
              <w:t>气体活塞式移液器用于水性溶液的准确移液</w:t>
            </w:r>
            <w:r>
              <w:rPr>
                <w:rFonts w:hint="eastAsia" w:ascii="宋体" w:hAnsi="宋体"/>
                <w:color w:val="000000"/>
                <w:kern w:val="0"/>
                <w:sz w:val="21"/>
                <w:szCs w:val="21"/>
              </w:rPr>
              <w:br w:type="textWrapping"/>
            </w:r>
            <w:r>
              <w:rPr>
                <w:rFonts w:hint="eastAsia" w:ascii="宋体" w:hAnsi="宋体"/>
                <w:color w:val="000000"/>
                <w:kern w:val="0"/>
                <w:sz w:val="21"/>
                <w:szCs w:val="21"/>
              </w:rPr>
              <w:t>感受重量和移液用力的差异： 超轻机械移液器设计符合PhysioCare Concept 的严格标准，可减少手部和臂部的用力。</w:t>
            </w:r>
            <w:r>
              <w:rPr>
                <w:rFonts w:hint="eastAsia" w:ascii="宋体" w:hAnsi="宋体"/>
                <w:color w:val="000000"/>
                <w:kern w:val="0"/>
                <w:sz w:val="21"/>
                <w:szCs w:val="21"/>
              </w:rPr>
              <w:br w:type="textWrapping"/>
            </w:r>
            <w:r>
              <w:rPr>
                <w:rFonts w:hint="eastAsia" w:ascii="宋体" w:hAnsi="宋体"/>
                <w:color w:val="000000"/>
                <w:kern w:val="0"/>
                <w:sz w:val="21"/>
                <w:szCs w:val="21"/>
              </w:rPr>
              <w:t>弹性吸嘴（适用于最大为 1 mL 的所有移液器）大幅减轻吸头装配用力，有助于降低劳损</w:t>
            </w:r>
            <w:r>
              <w:rPr>
                <w:rFonts w:hint="eastAsia" w:ascii="宋体" w:hAnsi="宋体"/>
                <w:color w:val="000000"/>
                <w:kern w:val="0"/>
                <w:sz w:val="21"/>
                <w:szCs w:val="21"/>
              </w:rPr>
              <w:br w:type="textWrapping"/>
            </w:r>
            <w:r>
              <w:rPr>
                <w:rFonts w:hint="eastAsia" w:ascii="宋体" w:hAnsi="宋体"/>
                <w:color w:val="000000"/>
                <w:kern w:val="0"/>
                <w:sz w:val="21"/>
                <w:szCs w:val="21"/>
              </w:rPr>
              <w:t>Research plus 的吸头脱卸用力小 (3.6 N)</w:t>
            </w:r>
            <w:r>
              <w:rPr>
                <w:rFonts w:hint="eastAsia" w:ascii="宋体" w:hAnsi="宋体"/>
                <w:color w:val="000000"/>
                <w:kern w:val="0"/>
                <w:sz w:val="21"/>
                <w:szCs w:val="21"/>
              </w:rPr>
              <w:br w:type="textWrapping"/>
            </w:r>
            <w:r>
              <w:rPr>
                <w:rFonts w:hint="eastAsia" w:ascii="宋体" w:hAnsi="宋体"/>
                <w:color w:val="000000"/>
                <w:kern w:val="0"/>
                <w:sz w:val="21"/>
                <w:szCs w:val="21"/>
              </w:rPr>
              <w:t>对各种难处理的液体（比如乙醇）进行移液，或在高海拔地区移液时，可在数秒内调节您的移液器。 无需校准即可恢复出厂设置</w:t>
            </w:r>
            <w:r>
              <w:rPr>
                <w:rFonts w:hint="eastAsia" w:ascii="宋体" w:hAnsi="宋体"/>
                <w:color w:val="000000"/>
                <w:kern w:val="0"/>
                <w:sz w:val="21"/>
                <w:szCs w:val="21"/>
              </w:rPr>
              <w:br w:type="textWrapping"/>
            </w:r>
            <w:r>
              <w:rPr>
                <w:rFonts w:hint="eastAsia" w:ascii="宋体" w:hAnsi="宋体"/>
                <w:color w:val="000000"/>
                <w:kern w:val="0"/>
                <w:sz w:val="21"/>
                <w:szCs w:val="21"/>
              </w:rPr>
              <w:t>可根据您的要求对整支移液器或仅对移液器下半部分进行高温高压灭菌，确保消除污染。</w:t>
            </w:r>
          </w:p>
        </w:tc>
      </w:tr>
      <w:tr>
        <w:tblPrEx>
          <w:tblCellMar>
            <w:top w:w="0" w:type="dxa"/>
            <w:left w:w="0" w:type="dxa"/>
            <w:bottom w:w="0" w:type="dxa"/>
            <w:right w:w="0" w:type="dxa"/>
          </w:tblCellMar>
        </w:tblPrEx>
        <w:trPr>
          <w:trHeight w:val="90" w:hRule="atLeast"/>
        </w:trPr>
        <w:tc>
          <w:tcPr>
            <w:tcW w:w="711"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hAnsi="宋体"/>
                <w:b/>
                <w:color w:val="000000"/>
                <w:sz w:val="21"/>
                <w:szCs w:val="21"/>
              </w:rPr>
            </w:pPr>
          </w:p>
        </w:tc>
        <w:tc>
          <w:tcPr>
            <w:tcW w:w="435" w:type="dxa"/>
            <w:tcBorders>
              <w:top w:val="single" w:color="auto"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hAnsi="宋体"/>
                <w:color w:val="000000"/>
                <w:sz w:val="21"/>
                <w:szCs w:val="21"/>
              </w:rPr>
            </w:pPr>
            <w:r>
              <w:rPr>
                <w:rFonts w:hint="eastAsia" w:ascii="宋体" w:hAnsi="宋体"/>
                <w:color w:val="000000"/>
                <w:sz w:val="21"/>
                <w:szCs w:val="21"/>
              </w:rPr>
              <w:t>11</w:t>
            </w:r>
          </w:p>
        </w:tc>
        <w:tc>
          <w:tcPr>
            <w:tcW w:w="7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heme="minorEastAsia" w:hAnsiTheme="minorEastAsia" w:eastAsiaTheme="minorEastAsia"/>
                <w:color w:val="000000"/>
                <w:kern w:val="0"/>
                <w:sz w:val="21"/>
                <w:szCs w:val="21"/>
              </w:rPr>
            </w:pPr>
            <w:r>
              <w:rPr>
                <w:rFonts w:hint="eastAsia" w:asciiTheme="minorEastAsia" w:hAnsiTheme="minorEastAsia" w:eastAsiaTheme="minorEastAsia"/>
                <w:color w:val="000000"/>
                <w:kern w:val="0"/>
                <w:sz w:val="21"/>
                <w:szCs w:val="21"/>
              </w:rPr>
              <w:t>单道可调量程移液器（进口产品）</w:t>
            </w:r>
          </w:p>
        </w:tc>
        <w:tc>
          <w:tcPr>
            <w:tcW w:w="60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kern w:val="0"/>
                <w:sz w:val="21"/>
                <w:szCs w:val="21"/>
              </w:rPr>
              <w:t>5把</w:t>
            </w:r>
          </w:p>
        </w:tc>
        <w:tc>
          <w:tcPr>
            <w:tcW w:w="7430"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pPr>
              <w:widowControl/>
              <w:jc w:val="left"/>
              <w:textAlignment w:val="center"/>
              <w:rPr>
                <w:rFonts w:ascii="宋体" w:hAnsi="宋体"/>
                <w:color w:val="000000"/>
                <w:kern w:val="0"/>
                <w:sz w:val="21"/>
                <w:szCs w:val="21"/>
              </w:rPr>
            </w:pPr>
            <w:r>
              <w:rPr>
                <w:rFonts w:hint="eastAsia" w:ascii="宋体" w:hAnsi="宋体"/>
                <w:color w:val="000000"/>
                <w:kern w:val="0"/>
                <w:sz w:val="18"/>
                <w:szCs w:val="18"/>
              </w:rPr>
              <w:t>100-1000ul</w:t>
            </w:r>
          </w:p>
          <w:p>
            <w:pPr>
              <w:widowControl/>
              <w:jc w:val="left"/>
              <w:textAlignment w:val="center"/>
              <w:rPr>
                <w:rFonts w:ascii="宋体" w:hAnsi="宋体"/>
                <w:color w:val="000000"/>
                <w:sz w:val="21"/>
                <w:szCs w:val="21"/>
              </w:rPr>
            </w:pPr>
            <w:r>
              <w:rPr>
                <w:rFonts w:hint="eastAsia" w:ascii="宋体" w:hAnsi="宋体"/>
                <w:color w:val="000000"/>
                <w:kern w:val="0"/>
                <w:sz w:val="21"/>
                <w:szCs w:val="21"/>
              </w:rPr>
              <w:t>气体活塞式移液器用于水性溶液的准确移液</w:t>
            </w:r>
            <w:r>
              <w:rPr>
                <w:rFonts w:hint="eastAsia" w:ascii="宋体" w:hAnsi="宋体"/>
                <w:color w:val="000000"/>
                <w:kern w:val="0"/>
                <w:sz w:val="21"/>
                <w:szCs w:val="21"/>
              </w:rPr>
              <w:br w:type="textWrapping"/>
            </w:r>
            <w:r>
              <w:rPr>
                <w:rFonts w:hint="eastAsia" w:ascii="宋体" w:hAnsi="宋体"/>
                <w:color w:val="000000"/>
                <w:kern w:val="0"/>
                <w:sz w:val="21"/>
                <w:szCs w:val="21"/>
              </w:rPr>
              <w:t>感受重量和移液用力的差异： 超轻机械移液器设计符合PhysioCare Concept 的严格标准，可减少手部和臂部的用力。</w:t>
            </w:r>
            <w:r>
              <w:rPr>
                <w:rFonts w:hint="eastAsia" w:ascii="宋体" w:hAnsi="宋体"/>
                <w:color w:val="000000"/>
                <w:kern w:val="0"/>
                <w:sz w:val="21"/>
                <w:szCs w:val="21"/>
              </w:rPr>
              <w:br w:type="textWrapping"/>
            </w:r>
            <w:r>
              <w:rPr>
                <w:rFonts w:hint="eastAsia" w:ascii="宋体" w:hAnsi="宋体"/>
                <w:color w:val="000000"/>
                <w:kern w:val="0"/>
                <w:sz w:val="21"/>
                <w:szCs w:val="21"/>
              </w:rPr>
              <w:t>弹性吸嘴（适用于最大为 1 mL 的所有移液器）大幅减轻吸头装配用力，有助于降低劳损</w:t>
            </w:r>
            <w:r>
              <w:rPr>
                <w:rFonts w:hint="eastAsia" w:ascii="宋体" w:hAnsi="宋体"/>
                <w:color w:val="000000"/>
                <w:kern w:val="0"/>
                <w:sz w:val="21"/>
                <w:szCs w:val="21"/>
              </w:rPr>
              <w:br w:type="textWrapping"/>
            </w:r>
            <w:r>
              <w:rPr>
                <w:rFonts w:hint="eastAsia" w:ascii="宋体" w:hAnsi="宋体"/>
                <w:color w:val="000000"/>
                <w:kern w:val="0"/>
                <w:sz w:val="21"/>
                <w:szCs w:val="21"/>
              </w:rPr>
              <w:t>Research plus 的吸头脱卸用力小 (3.6 N)</w:t>
            </w:r>
            <w:r>
              <w:rPr>
                <w:rFonts w:hint="eastAsia" w:ascii="宋体" w:hAnsi="宋体"/>
                <w:color w:val="000000"/>
                <w:kern w:val="0"/>
                <w:sz w:val="21"/>
                <w:szCs w:val="21"/>
              </w:rPr>
              <w:br w:type="textWrapping"/>
            </w:r>
            <w:r>
              <w:rPr>
                <w:rFonts w:hint="eastAsia" w:ascii="宋体" w:hAnsi="宋体"/>
                <w:color w:val="000000"/>
                <w:kern w:val="0"/>
                <w:sz w:val="21"/>
                <w:szCs w:val="21"/>
              </w:rPr>
              <w:t>对各种难处理的液体（比如乙醇）进行移液，或在高海拔地区移液时，可在数秒内调节您的移液器。 无需校准即可恢复出厂设置</w:t>
            </w:r>
            <w:r>
              <w:rPr>
                <w:rFonts w:hint="eastAsia" w:ascii="宋体" w:hAnsi="宋体"/>
                <w:color w:val="000000"/>
                <w:kern w:val="0"/>
                <w:sz w:val="21"/>
                <w:szCs w:val="21"/>
              </w:rPr>
              <w:br w:type="textWrapping"/>
            </w:r>
            <w:r>
              <w:rPr>
                <w:rFonts w:hint="eastAsia" w:ascii="宋体" w:hAnsi="宋体"/>
                <w:color w:val="000000"/>
                <w:kern w:val="0"/>
                <w:sz w:val="21"/>
                <w:szCs w:val="21"/>
              </w:rPr>
              <w:t>可根据您的要求对整支移液器或仅对移液器下半部分进行高温高压灭菌，确保消除污染。</w:t>
            </w:r>
          </w:p>
        </w:tc>
      </w:tr>
      <w:tr>
        <w:tblPrEx>
          <w:tblCellMar>
            <w:top w:w="0" w:type="dxa"/>
            <w:left w:w="0" w:type="dxa"/>
            <w:bottom w:w="0" w:type="dxa"/>
            <w:right w:w="0" w:type="dxa"/>
          </w:tblCellMar>
        </w:tblPrEx>
        <w:trPr>
          <w:trHeight w:val="570" w:hRule="atLeast"/>
        </w:trPr>
        <w:tc>
          <w:tcPr>
            <w:tcW w:w="711"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hAnsi="宋体"/>
                <w:b/>
                <w:color w:val="000000"/>
                <w:sz w:val="21"/>
                <w:szCs w:val="21"/>
              </w:rPr>
            </w:pPr>
          </w:p>
        </w:tc>
        <w:tc>
          <w:tcPr>
            <w:tcW w:w="435"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pPr>
              <w:widowControl/>
              <w:jc w:val="center"/>
              <w:textAlignment w:val="center"/>
              <w:rPr>
                <w:rFonts w:ascii="宋体" w:hAnsi="宋体"/>
                <w:color w:val="000000"/>
                <w:kern w:val="0"/>
                <w:sz w:val="21"/>
                <w:szCs w:val="21"/>
              </w:rPr>
            </w:pPr>
          </w:p>
          <w:p>
            <w:pPr>
              <w:widowControl/>
              <w:textAlignment w:val="center"/>
              <w:rPr>
                <w:rFonts w:ascii="宋体" w:hAnsi="宋体"/>
                <w:color w:val="000000"/>
                <w:kern w:val="0"/>
                <w:sz w:val="21"/>
                <w:szCs w:val="21"/>
              </w:rPr>
            </w:pPr>
            <w:r>
              <w:rPr>
                <w:rFonts w:hint="eastAsia" w:ascii="宋体" w:hAnsi="宋体"/>
                <w:color w:val="000000"/>
                <w:kern w:val="0"/>
                <w:sz w:val="21"/>
                <w:szCs w:val="21"/>
              </w:rPr>
              <w:t>12</w:t>
            </w:r>
          </w:p>
          <w:p>
            <w:pPr>
              <w:widowControl/>
              <w:jc w:val="center"/>
              <w:textAlignment w:val="center"/>
              <w:rPr>
                <w:rFonts w:ascii="宋体" w:hAnsi="宋体"/>
                <w:color w:val="000000"/>
                <w:sz w:val="21"/>
                <w:szCs w:val="21"/>
              </w:rPr>
            </w:pPr>
          </w:p>
        </w:tc>
        <w:tc>
          <w:tcPr>
            <w:tcW w:w="7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olor w:val="000000"/>
                <w:sz w:val="21"/>
                <w:szCs w:val="21"/>
              </w:rPr>
            </w:pPr>
            <w:r>
              <w:rPr>
                <w:rFonts w:hint="eastAsia" w:ascii="宋体" w:hAnsi="宋体"/>
                <w:color w:val="000000"/>
                <w:kern w:val="0"/>
                <w:sz w:val="21"/>
                <w:szCs w:val="21"/>
              </w:rPr>
              <w:t>全自动核酸提取仪</w:t>
            </w:r>
          </w:p>
        </w:tc>
        <w:tc>
          <w:tcPr>
            <w:tcW w:w="60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olor w:val="000000"/>
                <w:sz w:val="21"/>
                <w:szCs w:val="21"/>
              </w:rPr>
            </w:pPr>
            <w:r>
              <w:rPr>
                <w:rFonts w:hint="eastAsia" w:ascii="宋体" w:hAnsi="宋体"/>
                <w:color w:val="000000"/>
                <w:kern w:val="0"/>
                <w:sz w:val="21"/>
                <w:szCs w:val="21"/>
              </w:rPr>
              <w:t>1台</w:t>
            </w:r>
          </w:p>
        </w:tc>
        <w:tc>
          <w:tcPr>
            <w:tcW w:w="7430" w:type="dxa"/>
            <w:tcBorders>
              <w:top w:val="single" w:color="auto" w:sz="4" w:space="0"/>
              <w:left w:val="single" w:color="000000" w:sz="4" w:space="0"/>
              <w:bottom w:val="nil"/>
              <w:right w:val="single" w:color="000000" w:sz="4" w:space="0"/>
            </w:tcBorders>
            <w:tcMar>
              <w:top w:w="15" w:type="dxa"/>
              <w:left w:w="15" w:type="dxa"/>
              <w:right w:w="15" w:type="dxa"/>
            </w:tcMar>
            <w:vAlign w:val="center"/>
          </w:tcPr>
          <w:p>
            <w:pPr>
              <w:widowControl/>
              <w:jc w:val="left"/>
              <w:textAlignment w:val="center"/>
              <w:rPr>
                <w:rFonts w:ascii="宋体" w:hAnsi="宋体"/>
                <w:color w:val="000000"/>
                <w:kern w:val="0"/>
                <w:sz w:val="21"/>
                <w:szCs w:val="21"/>
              </w:rPr>
            </w:pPr>
            <w:r>
              <w:rPr>
                <w:rFonts w:hint="eastAsia" w:ascii="宋体" w:hAnsi="宋体"/>
                <w:color w:val="000000"/>
                <w:kern w:val="0"/>
                <w:sz w:val="21"/>
                <w:szCs w:val="21"/>
              </w:rPr>
              <w:t>一、可从咽拭子、血清、血浆、全血、增菌液、组织、干血斑等多种类型的样本中实现全自动、快速提取到所需要的目标核酸；</w:t>
            </w:r>
            <w:r>
              <w:rPr>
                <w:rFonts w:hint="eastAsia" w:ascii="宋体" w:hAnsi="宋体"/>
                <w:color w:val="000000"/>
                <w:kern w:val="0"/>
                <w:sz w:val="21"/>
                <w:szCs w:val="21"/>
              </w:rPr>
              <w:br w:type="textWrapping"/>
            </w:r>
            <w:r>
              <w:rPr>
                <w:rFonts w:hint="eastAsia" w:ascii="宋体" w:hAnsi="宋体"/>
                <w:color w:val="000000"/>
                <w:kern w:val="0"/>
                <w:sz w:val="21"/>
                <w:szCs w:val="21"/>
              </w:rPr>
              <w:t>二、运行原理：利用磁棒的磁性吸附技术将试剂中的磁珠在各个孔位中进行转移和反应，运行中不进行任何液体的转移工作即可完成整个提取过程；</w:t>
            </w:r>
            <w:r>
              <w:rPr>
                <w:rFonts w:hint="eastAsia" w:ascii="宋体" w:hAnsi="宋体"/>
                <w:color w:val="000000"/>
                <w:kern w:val="0"/>
                <w:sz w:val="21"/>
                <w:szCs w:val="21"/>
              </w:rPr>
              <w:br w:type="textWrapping"/>
            </w:r>
            <w:r>
              <w:rPr>
                <w:rFonts w:hint="eastAsia" w:ascii="宋体" w:hAnsi="宋体"/>
                <w:color w:val="000000"/>
                <w:kern w:val="0"/>
                <w:sz w:val="21"/>
                <w:szCs w:val="21"/>
              </w:rPr>
              <w:t>三、技术要求</w:t>
            </w:r>
            <w:r>
              <w:rPr>
                <w:rFonts w:hint="eastAsia" w:ascii="宋体" w:hAnsi="宋体"/>
                <w:color w:val="000000"/>
                <w:kern w:val="0"/>
                <w:sz w:val="21"/>
                <w:szCs w:val="21"/>
              </w:rPr>
              <w:br w:type="textWrapping"/>
            </w:r>
            <w:r>
              <w:rPr>
                <w:rFonts w:hint="eastAsia" w:ascii="宋体" w:hAnsi="宋体"/>
                <w:color w:val="000000"/>
                <w:kern w:val="0"/>
                <w:sz w:val="21"/>
                <w:szCs w:val="21"/>
              </w:rPr>
              <w:t>1、处理能力：一次性完成32个样本的提取；</w:t>
            </w:r>
            <w:r>
              <w:rPr>
                <w:rFonts w:hint="eastAsia" w:ascii="宋体" w:hAnsi="宋体"/>
                <w:color w:val="000000"/>
                <w:kern w:val="0"/>
                <w:sz w:val="21"/>
                <w:szCs w:val="21"/>
              </w:rPr>
              <w:br w:type="textWrapping"/>
            </w:r>
            <w:r>
              <w:rPr>
                <w:rFonts w:hint="eastAsia" w:ascii="宋体" w:hAnsi="宋体"/>
                <w:color w:val="000000"/>
                <w:kern w:val="0"/>
                <w:sz w:val="21"/>
                <w:szCs w:val="21"/>
              </w:rPr>
              <w:t>2、提取速度：20分钟内可提取32个样本；</w:t>
            </w:r>
            <w:r>
              <w:rPr>
                <w:rFonts w:hint="eastAsia" w:ascii="宋体" w:hAnsi="宋体"/>
                <w:color w:val="000000"/>
                <w:kern w:val="0"/>
                <w:sz w:val="21"/>
                <w:szCs w:val="21"/>
              </w:rPr>
              <w:br w:type="textWrapping"/>
            </w:r>
            <w:r>
              <w:rPr>
                <w:rFonts w:hint="eastAsia" w:ascii="宋体" w:hAnsi="宋体"/>
                <w:color w:val="000000"/>
                <w:kern w:val="0"/>
                <w:sz w:val="21"/>
                <w:szCs w:val="21"/>
              </w:rPr>
              <w:t>3、工作方式：独立运行，内建10组模式程序,可存储&gt;500组程序；</w:t>
            </w:r>
            <w:r>
              <w:rPr>
                <w:rFonts w:hint="eastAsia" w:ascii="宋体" w:hAnsi="宋体"/>
                <w:color w:val="000000"/>
                <w:kern w:val="0"/>
                <w:sz w:val="21"/>
                <w:szCs w:val="21"/>
              </w:rPr>
              <w:br w:type="textWrapping"/>
            </w:r>
            <w:r>
              <w:rPr>
                <w:rFonts w:hint="eastAsia" w:ascii="宋体" w:hAnsi="宋体"/>
                <w:color w:val="000000"/>
                <w:kern w:val="0"/>
                <w:sz w:val="21"/>
                <w:szCs w:val="21"/>
              </w:rPr>
              <w:t>4、处理体积：30-1000μl；</w:t>
            </w:r>
            <w:r>
              <w:rPr>
                <w:rFonts w:hint="eastAsia" w:ascii="宋体" w:hAnsi="宋体"/>
                <w:color w:val="000000"/>
                <w:kern w:val="0"/>
                <w:sz w:val="21"/>
                <w:szCs w:val="21"/>
              </w:rPr>
              <w:br w:type="textWrapping"/>
            </w:r>
            <w:r>
              <w:rPr>
                <w:rFonts w:hint="eastAsia" w:ascii="宋体" w:hAnsi="宋体"/>
                <w:color w:val="000000"/>
                <w:kern w:val="0"/>
                <w:sz w:val="21"/>
                <w:szCs w:val="21"/>
              </w:rPr>
              <w:t>5、加热温度：室温～100℃；</w:t>
            </w:r>
            <w:r>
              <w:rPr>
                <w:rFonts w:hint="eastAsia" w:ascii="宋体" w:hAnsi="宋体"/>
                <w:color w:val="000000"/>
                <w:kern w:val="0"/>
                <w:sz w:val="21"/>
                <w:szCs w:val="21"/>
              </w:rPr>
              <w:br w:type="textWrapping"/>
            </w:r>
            <w:r>
              <w:rPr>
                <w:rFonts w:hint="eastAsia" w:ascii="宋体" w:hAnsi="宋体"/>
                <w:color w:val="000000"/>
                <w:kern w:val="0"/>
                <w:sz w:val="21"/>
                <w:szCs w:val="21"/>
              </w:rPr>
              <w:t>6、工作方式：磁珠法提取；</w:t>
            </w:r>
            <w:r>
              <w:rPr>
                <w:rFonts w:hint="eastAsia" w:ascii="宋体" w:hAnsi="宋体"/>
                <w:color w:val="000000"/>
                <w:kern w:val="0"/>
                <w:sz w:val="21"/>
                <w:szCs w:val="21"/>
              </w:rPr>
              <w:br w:type="textWrapping"/>
            </w:r>
            <w:r>
              <w:rPr>
                <w:rFonts w:hint="eastAsia" w:ascii="宋体" w:hAnsi="宋体"/>
                <w:color w:val="000000"/>
                <w:kern w:val="0"/>
                <w:sz w:val="21"/>
                <w:szCs w:val="21"/>
              </w:rPr>
              <w:t>7、振荡混合：多模式多档可调；</w:t>
            </w:r>
            <w:r>
              <w:rPr>
                <w:rFonts w:hint="eastAsia" w:ascii="宋体" w:hAnsi="宋体"/>
                <w:color w:val="000000"/>
                <w:kern w:val="0"/>
                <w:sz w:val="21"/>
                <w:szCs w:val="21"/>
              </w:rPr>
              <w:br w:type="textWrapping"/>
            </w:r>
            <w:r>
              <w:rPr>
                <w:rFonts w:hint="eastAsia" w:ascii="宋体" w:hAnsi="宋体"/>
                <w:color w:val="000000"/>
                <w:kern w:val="0"/>
                <w:sz w:val="21"/>
                <w:szCs w:val="21"/>
              </w:rPr>
              <w:t>8、操作界面：全中文7寸液晶触控屏；</w:t>
            </w:r>
            <w:r>
              <w:rPr>
                <w:rFonts w:hint="eastAsia" w:ascii="宋体" w:hAnsi="宋体"/>
                <w:color w:val="000000"/>
                <w:kern w:val="0"/>
                <w:sz w:val="21"/>
                <w:szCs w:val="21"/>
              </w:rPr>
              <w:br w:type="textWrapping"/>
            </w:r>
            <w:r>
              <w:rPr>
                <w:rFonts w:hint="eastAsia" w:ascii="宋体" w:hAnsi="宋体"/>
                <w:color w:val="000000"/>
                <w:kern w:val="0"/>
                <w:sz w:val="21"/>
                <w:szCs w:val="21"/>
              </w:rPr>
              <w:t>9、程序管理：新建、编辑、删除，模式程序，单机在线自由灵活编辑提取程序，无需再外接电脑；</w:t>
            </w:r>
            <w:r>
              <w:rPr>
                <w:rFonts w:hint="eastAsia" w:ascii="宋体" w:hAnsi="宋体"/>
                <w:color w:val="000000"/>
                <w:kern w:val="0"/>
                <w:sz w:val="21"/>
                <w:szCs w:val="21"/>
              </w:rPr>
              <w:br w:type="textWrapping"/>
            </w:r>
            <w:r>
              <w:rPr>
                <w:rFonts w:hint="eastAsia" w:ascii="宋体" w:hAnsi="宋体"/>
                <w:color w:val="000000"/>
                <w:kern w:val="0"/>
                <w:sz w:val="21"/>
                <w:szCs w:val="21"/>
              </w:rPr>
              <w:t>10、污染防控：</w:t>
            </w:r>
            <w:r>
              <w:rPr>
                <w:rFonts w:hint="eastAsia" w:ascii="宋体" w:hAnsi="宋体"/>
                <w:color w:val="000000"/>
                <w:kern w:val="0"/>
                <w:sz w:val="21"/>
                <w:szCs w:val="21"/>
              </w:rPr>
              <w:br w:type="textWrapping"/>
            </w:r>
            <w:r>
              <w:rPr>
                <w:rFonts w:hint="eastAsia" w:ascii="宋体" w:hAnsi="宋体"/>
                <w:color w:val="000000"/>
                <w:kern w:val="0"/>
                <w:sz w:val="21"/>
                <w:szCs w:val="21"/>
              </w:rPr>
              <w:t>10.1、实验舱内置紫外灯；</w:t>
            </w:r>
            <w:r>
              <w:rPr>
                <w:rFonts w:hint="eastAsia" w:ascii="宋体" w:hAnsi="宋体"/>
                <w:color w:val="000000"/>
                <w:kern w:val="0"/>
                <w:sz w:val="21"/>
                <w:szCs w:val="21"/>
              </w:rPr>
              <w:br w:type="textWrapping"/>
            </w:r>
            <w:r>
              <w:rPr>
                <w:rFonts w:hint="eastAsia" w:ascii="宋体" w:hAnsi="宋体"/>
                <w:color w:val="000000"/>
                <w:kern w:val="0"/>
                <w:sz w:val="21"/>
                <w:szCs w:val="21"/>
              </w:rPr>
              <w:t>10.2、具备防止核酸气溶胶污染风路设计；</w:t>
            </w:r>
            <w:r>
              <w:rPr>
                <w:rFonts w:hint="eastAsia" w:ascii="宋体" w:hAnsi="宋体"/>
                <w:color w:val="000000"/>
                <w:kern w:val="0"/>
                <w:sz w:val="21"/>
                <w:szCs w:val="21"/>
              </w:rPr>
              <w:br w:type="textWrapping"/>
            </w:r>
            <w:r>
              <w:rPr>
                <w:rFonts w:hint="eastAsia" w:ascii="宋体" w:hAnsi="宋体"/>
                <w:color w:val="000000"/>
                <w:kern w:val="0"/>
                <w:sz w:val="21"/>
                <w:szCs w:val="21"/>
              </w:rPr>
              <w:t>11、仪器扩展接口：USB；</w:t>
            </w:r>
            <w:r>
              <w:rPr>
                <w:rFonts w:hint="eastAsia" w:ascii="宋体" w:hAnsi="宋体"/>
                <w:color w:val="000000"/>
                <w:kern w:val="0"/>
                <w:sz w:val="21"/>
                <w:szCs w:val="21"/>
              </w:rPr>
              <w:br w:type="textWrapping"/>
            </w:r>
            <w:r>
              <w:rPr>
                <w:rFonts w:hint="eastAsia" w:ascii="宋体" w:hAnsi="宋体"/>
                <w:color w:val="000000"/>
                <w:kern w:val="0"/>
                <w:sz w:val="21"/>
                <w:szCs w:val="21"/>
              </w:rPr>
              <w:t>12、网络通讯：可扩展以太网通讯；</w:t>
            </w:r>
            <w:r>
              <w:rPr>
                <w:rFonts w:hint="eastAsia" w:ascii="宋体" w:hAnsi="宋体"/>
                <w:color w:val="000000"/>
                <w:kern w:val="0"/>
                <w:sz w:val="21"/>
                <w:szCs w:val="21"/>
              </w:rPr>
              <w:br w:type="textWrapping"/>
            </w:r>
            <w:r>
              <w:rPr>
                <w:rFonts w:hint="eastAsia" w:ascii="宋体" w:hAnsi="宋体"/>
                <w:color w:val="000000"/>
                <w:kern w:val="0"/>
                <w:sz w:val="21"/>
                <w:szCs w:val="21"/>
              </w:rPr>
              <w:t>13、具有断电保护功能；</w:t>
            </w:r>
            <w:r>
              <w:rPr>
                <w:rFonts w:hint="eastAsia" w:ascii="宋体" w:hAnsi="宋体"/>
                <w:color w:val="000000"/>
                <w:kern w:val="0"/>
                <w:sz w:val="21"/>
                <w:szCs w:val="21"/>
              </w:rPr>
              <w:br w:type="textWrapping"/>
            </w:r>
            <w:r>
              <w:rPr>
                <w:rFonts w:hint="eastAsia" w:ascii="宋体" w:hAnsi="宋体"/>
                <w:color w:val="000000"/>
                <w:kern w:val="0"/>
                <w:sz w:val="21"/>
                <w:szCs w:val="21"/>
              </w:rPr>
              <w:t xml:space="preserve">四、商务要求： </w:t>
            </w:r>
            <w:r>
              <w:rPr>
                <w:rFonts w:hint="eastAsia" w:ascii="宋体" w:hAnsi="宋体"/>
                <w:color w:val="000000"/>
                <w:kern w:val="0"/>
                <w:sz w:val="21"/>
                <w:szCs w:val="21"/>
              </w:rPr>
              <w:br w:type="textWrapping"/>
            </w:r>
            <w:r>
              <w:rPr>
                <w:rFonts w:hint="eastAsia" w:ascii="宋体" w:hAnsi="宋体"/>
                <w:color w:val="000000"/>
                <w:kern w:val="0"/>
                <w:sz w:val="21"/>
                <w:szCs w:val="21"/>
              </w:rPr>
              <w:t>1、仪器及配套试剂均具有中国医疗器械注册证及专利证书</w:t>
            </w:r>
            <w:r>
              <w:rPr>
                <w:rFonts w:hint="eastAsia" w:ascii="宋体" w:hAnsi="宋体"/>
                <w:b/>
                <w:bCs/>
                <w:color w:val="000000"/>
                <w:kern w:val="0"/>
                <w:sz w:val="21"/>
                <w:szCs w:val="21"/>
              </w:rPr>
              <w:t>（投标文件商务、技术证明文件提供复印件）</w:t>
            </w:r>
          </w:p>
          <w:p>
            <w:pPr>
              <w:widowControl/>
              <w:jc w:val="left"/>
              <w:textAlignment w:val="center"/>
              <w:rPr>
                <w:rFonts w:ascii="宋体" w:hAnsi="宋体"/>
                <w:color w:val="000000"/>
                <w:kern w:val="0"/>
                <w:sz w:val="21"/>
                <w:szCs w:val="21"/>
              </w:rPr>
            </w:pPr>
            <w:r>
              <w:rPr>
                <w:rFonts w:hint="eastAsia" w:ascii="宋体" w:hAnsi="宋体"/>
                <w:color w:val="000000"/>
                <w:kern w:val="0"/>
                <w:sz w:val="21"/>
                <w:szCs w:val="21"/>
              </w:rPr>
              <w:t>2、厂家通ISO13485医疗器械质量管理体系认证</w:t>
            </w:r>
            <w:r>
              <w:rPr>
                <w:rFonts w:hint="eastAsia" w:ascii="宋体" w:hAnsi="宋体"/>
                <w:b/>
                <w:bCs/>
                <w:color w:val="000000"/>
                <w:kern w:val="0"/>
                <w:sz w:val="21"/>
                <w:szCs w:val="21"/>
              </w:rPr>
              <w:t>（投标文件商务、技术证明文件提供复印件）</w:t>
            </w:r>
          </w:p>
          <w:p>
            <w:pPr>
              <w:widowControl/>
              <w:jc w:val="left"/>
              <w:textAlignment w:val="center"/>
              <w:rPr>
                <w:rFonts w:ascii="宋体" w:hAnsi="宋体"/>
                <w:color w:val="000000"/>
                <w:sz w:val="21"/>
                <w:szCs w:val="21"/>
              </w:rPr>
            </w:pPr>
            <w:r>
              <w:rPr>
                <w:rFonts w:hint="eastAsia" w:ascii="宋体" w:hAnsi="宋体"/>
                <w:color w:val="000000"/>
                <w:kern w:val="0"/>
                <w:sz w:val="21"/>
                <w:szCs w:val="21"/>
              </w:rPr>
              <w:t>3、为了应对疫情周期内不同时间内需处理不同类型样本及不同检测量，需投标商能提供不少于以下规格：预封装:20T/盒、40T/盒、64T/盒；单条预封装：20T/盒；</w:t>
            </w:r>
            <w:r>
              <w:rPr>
                <w:rFonts w:hint="eastAsia" w:ascii="宋体" w:hAnsi="宋体"/>
                <w:color w:val="000000"/>
                <w:kern w:val="0"/>
                <w:sz w:val="21"/>
                <w:szCs w:val="21"/>
              </w:rPr>
              <w:br w:type="textWrapping"/>
            </w:r>
            <w:r>
              <w:rPr>
                <w:rFonts w:hint="eastAsia" w:ascii="宋体" w:hAnsi="宋体"/>
                <w:color w:val="000000"/>
                <w:kern w:val="0"/>
                <w:sz w:val="21"/>
                <w:szCs w:val="21"/>
              </w:rPr>
              <w:t>4、设备质保不少于24个月；</w:t>
            </w:r>
          </w:p>
        </w:tc>
      </w:tr>
      <w:tr>
        <w:tblPrEx>
          <w:tblCellMar>
            <w:top w:w="0" w:type="dxa"/>
            <w:left w:w="0" w:type="dxa"/>
            <w:bottom w:w="0" w:type="dxa"/>
            <w:right w:w="0" w:type="dxa"/>
          </w:tblCellMar>
        </w:tblPrEx>
        <w:trPr>
          <w:trHeight w:val="785" w:hRule="atLeast"/>
        </w:trPr>
        <w:tc>
          <w:tcPr>
            <w:tcW w:w="711"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hAnsi="宋体"/>
                <w:b/>
                <w:color w:val="000000"/>
                <w:sz w:val="21"/>
                <w:szCs w:val="21"/>
              </w:rPr>
            </w:pPr>
          </w:p>
        </w:tc>
        <w:tc>
          <w:tcPr>
            <w:tcW w:w="435" w:type="dxa"/>
            <w:tcBorders>
              <w:top w:val="single" w:color="auto"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olor w:val="000000"/>
                <w:sz w:val="21"/>
                <w:szCs w:val="21"/>
              </w:rPr>
            </w:pPr>
            <w:r>
              <w:rPr>
                <w:rFonts w:hint="eastAsia" w:ascii="宋体" w:hAnsi="宋体"/>
                <w:color w:val="000000"/>
                <w:sz w:val="21"/>
                <w:szCs w:val="21"/>
              </w:rPr>
              <w:t>13</w:t>
            </w:r>
          </w:p>
        </w:tc>
        <w:tc>
          <w:tcPr>
            <w:tcW w:w="7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olor w:val="000000"/>
                <w:sz w:val="21"/>
                <w:szCs w:val="21"/>
              </w:rPr>
            </w:pPr>
            <w:r>
              <w:rPr>
                <w:rFonts w:hint="eastAsia" w:ascii="宋体" w:hAnsi="宋体"/>
                <w:color w:val="000000"/>
                <w:kern w:val="0"/>
                <w:sz w:val="21"/>
                <w:szCs w:val="21"/>
              </w:rPr>
              <w:t>全自动核酸提取仪</w:t>
            </w:r>
          </w:p>
        </w:tc>
        <w:tc>
          <w:tcPr>
            <w:tcW w:w="60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olor w:val="000000"/>
                <w:sz w:val="21"/>
                <w:szCs w:val="21"/>
              </w:rPr>
            </w:pPr>
            <w:r>
              <w:rPr>
                <w:rFonts w:hint="eastAsia" w:ascii="宋体" w:hAnsi="宋体"/>
                <w:color w:val="000000"/>
                <w:kern w:val="0"/>
                <w:sz w:val="21"/>
                <w:szCs w:val="21"/>
              </w:rPr>
              <w:t>1台</w:t>
            </w:r>
          </w:p>
        </w:tc>
        <w:tc>
          <w:tcPr>
            <w:tcW w:w="743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宋体" w:hAnsi="宋体"/>
                <w:color w:val="000000"/>
                <w:kern w:val="0"/>
                <w:sz w:val="21"/>
                <w:szCs w:val="21"/>
              </w:rPr>
            </w:pPr>
            <w:r>
              <w:rPr>
                <w:rFonts w:hint="eastAsia" w:ascii="宋体" w:hAnsi="宋体"/>
                <w:color w:val="000000"/>
                <w:kern w:val="0"/>
                <w:sz w:val="21"/>
                <w:szCs w:val="21"/>
              </w:rPr>
              <w:t>一、技术要求</w:t>
            </w:r>
            <w:r>
              <w:rPr>
                <w:rFonts w:hint="eastAsia" w:ascii="宋体" w:hAnsi="宋体"/>
                <w:color w:val="000000"/>
                <w:kern w:val="0"/>
                <w:sz w:val="21"/>
                <w:szCs w:val="21"/>
              </w:rPr>
              <w:br w:type="textWrapping"/>
            </w:r>
            <w:r>
              <w:rPr>
                <w:rFonts w:hint="eastAsia" w:ascii="宋体" w:hAnsi="宋体"/>
                <w:color w:val="000000"/>
                <w:kern w:val="0"/>
                <w:sz w:val="21"/>
                <w:szCs w:val="21"/>
              </w:rPr>
              <w:t>1、处理能力：一次性完成1-96个样本的提取，最多一次性完成96个样本的提取；</w:t>
            </w:r>
            <w:r>
              <w:rPr>
                <w:rFonts w:hint="eastAsia" w:ascii="宋体" w:hAnsi="宋体"/>
                <w:color w:val="000000"/>
                <w:kern w:val="0"/>
                <w:sz w:val="21"/>
                <w:szCs w:val="21"/>
              </w:rPr>
              <w:br w:type="textWrapping"/>
            </w:r>
            <w:r>
              <w:rPr>
                <w:rFonts w:hint="eastAsia" w:ascii="宋体" w:hAnsi="宋体"/>
                <w:color w:val="000000"/>
                <w:kern w:val="0"/>
                <w:sz w:val="21"/>
                <w:szCs w:val="21"/>
              </w:rPr>
              <w:t>2、提取速度：提取96个样本≤20min；</w:t>
            </w:r>
            <w:r>
              <w:rPr>
                <w:rFonts w:hint="eastAsia" w:ascii="宋体" w:hAnsi="宋体"/>
                <w:color w:val="000000"/>
                <w:kern w:val="0"/>
                <w:sz w:val="21"/>
                <w:szCs w:val="21"/>
              </w:rPr>
              <w:br w:type="textWrapping"/>
            </w:r>
            <w:r>
              <w:rPr>
                <w:rFonts w:hint="eastAsia" w:ascii="宋体" w:hAnsi="宋体"/>
                <w:color w:val="000000"/>
                <w:kern w:val="0"/>
                <w:sz w:val="21"/>
                <w:szCs w:val="21"/>
              </w:rPr>
              <w:t>3、操控方式：通过仪器内置的液晶触摸屏进行触控操作；</w:t>
            </w:r>
            <w:r>
              <w:rPr>
                <w:rFonts w:hint="eastAsia" w:ascii="宋体" w:hAnsi="宋体"/>
                <w:color w:val="000000"/>
                <w:kern w:val="0"/>
                <w:sz w:val="21"/>
                <w:szCs w:val="21"/>
              </w:rPr>
              <w:br w:type="textWrapping"/>
            </w:r>
            <w:r>
              <w:rPr>
                <w:rFonts w:hint="eastAsia" w:ascii="宋体" w:hAnsi="宋体"/>
                <w:color w:val="000000"/>
                <w:kern w:val="0"/>
                <w:sz w:val="21"/>
                <w:szCs w:val="21"/>
              </w:rPr>
              <w:t>4、混合方式：样本与试剂旋转式混合；独立的旋转搅拌系统，混合速度≤2000rpm，混合效率高。</w:t>
            </w:r>
            <w:r>
              <w:rPr>
                <w:rFonts w:hint="eastAsia" w:ascii="宋体" w:hAnsi="宋体"/>
                <w:b/>
                <w:bCs/>
                <w:color w:val="000000"/>
                <w:kern w:val="0"/>
                <w:sz w:val="21"/>
                <w:szCs w:val="21"/>
              </w:rPr>
              <w:t>（投标文件商务、技术证明文件提供专利证书复印件）</w:t>
            </w:r>
          </w:p>
          <w:p>
            <w:pPr>
              <w:widowControl/>
              <w:jc w:val="left"/>
              <w:textAlignment w:val="center"/>
              <w:rPr>
                <w:rFonts w:ascii="宋体" w:hAnsi="宋体"/>
                <w:color w:val="000000"/>
                <w:kern w:val="0"/>
                <w:sz w:val="21"/>
                <w:szCs w:val="21"/>
              </w:rPr>
            </w:pPr>
            <w:r>
              <w:rPr>
                <w:rFonts w:hint="eastAsia" w:ascii="宋体" w:hAnsi="宋体"/>
                <w:color w:val="000000"/>
                <w:kern w:val="0"/>
                <w:sz w:val="21"/>
                <w:szCs w:val="21"/>
              </w:rPr>
              <w:t>5、运行噪音：运行最大噪音≤70分贝；</w:t>
            </w:r>
            <w:r>
              <w:rPr>
                <w:rFonts w:hint="eastAsia" w:ascii="宋体" w:hAnsi="宋体"/>
                <w:color w:val="000000"/>
                <w:kern w:val="0"/>
                <w:sz w:val="21"/>
                <w:szCs w:val="21"/>
              </w:rPr>
              <w:br w:type="textWrapping"/>
            </w:r>
            <w:r>
              <w:rPr>
                <w:rFonts w:hint="eastAsia" w:ascii="宋体" w:hAnsi="宋体"/>
                <w:color w:val="000000"/>
                <w:kern w:val="0"/>
                <w:sz w:val="21"/>
                <w:szCs w:val="21"/>
              </w:rPr>
              <w:t>6、程序管理：仪器内置5组常用实验程序，且用户可根据需要灵活进行新建、编辑、删除程序等操作；</w:t>
            </w:r>
            <w:r>
              <w:rPr>
                <w:rFonts w:hint="eastAsia" w:ascii="宋体" w:hAnsi="宋体"/>
                <w:color w:val="000000"/>
                <w:kern w:val="0"/>
                <w:sz w:val="21"/>
                <w:szCs w:val="21"/>
              </w:rPr>
              <w:br w:type="textWrapping"/>
            </w:r>
            <w:r>
              <w:rPr>
                <w:rFonts w:hint="eastAsia" w:ascii="宋体" w:hAnsi="宋体"/>
                <w:color w:val="000000"/>
                <w:kern w:val="0"/>
                <w:sz w:val="21"/>
                <w:szCs w:val="21"/>
              </w:rPr>
              <w:t>7、温控范围：室温≥~120℃</w:t>
            </w:r>
            <w:r>
              <w:rPr>
                <w:rFonts w:hint="eastAsia" w:ascii="宋体" w:hAnsi="宋体"/>
                <w:color w:val="000000"/>
                <w:kern w:val="0"/>
                <w:sz w:val="21"/>
                <w:szCs w:val="21"/>
              </w:rPr>
              <w:br w:type="textWrapping"/>
            </w:r>
            <w:r>
              <w:rPr>
                <w:rFonts w:hint="eastAsia" w:ascii="宋体" w:hAnsi="宋体"/>
                <w:color w:val="000000"/>
                <w:kern w:val="0"/>
                <w:sz w:val="21"/>
                <w:szCs w:val="21"/>
              </w:rPr>
              <w:t>8、二维码识别：可外接扫码枪，使用原厂试剂盒时扫码后即可运行，无需任何人工干预；</w:t>
            </w:r>
            <w:r>
              <w:rPr>
                <w:rFonts w:hint="eastAsia" w:ascii="宋体" w:hAnsi="宋体"/>
                <w:color w:val="000000"/>
                <w:kern w:val="0"/>
                <w:sz w:val="21"/>
                <w:szCs w:val="21"/>
              </w:rPr>
              <w:br w:type="textWrapping"/>
            </w:r>
            <w:r>
              <w:rPr>
                <w:rFonts w:hint="eastAsia" w:ascii="宋体" w:hAnsi="宋体"/>
                <w:color w:val="000000"/>
                <w:kern w:val="0"/>
                <w:sz w:val="21"/>
                <w:szCs w:val="21"/>
              </w:rPr>
              <w:t>9、污染防控：</w:t>
            </w:r>
            <w:r>
              <w:rPr>
                <w:rFonts w:hint="eastAsia" w:ascii="宋体" w:hAnsi="宋体"/>
                <w:color w:val="000000"/>
                <w:kern w:val="0"/>
                <w:sz w:val="21"/>
                <w:szCs w:val="21"/>
              </w:rPr>
              <w:br w:type="textWrapping"/>
            </w:r>
            <w:r>
              <w:rPr>
                <w:rFonts w:hint="eastAsia" w:ascii="宋体" w:hAnsi="宋体"/>
                <w:color w:val="000000"/>
                <w:kern w:val="0"/>
                <w:sz w:val="21"/>
                <w:szCs w:val="21"/>
              </w:rPr>
              <w:t>9.1、实验舱内置紫外灯，可灵活设置消毒时间，默认60min</w:t>
            </w:r>
            <w:r>
              <w:rPr>
                <w:rFonts w:hint="eastAsia" w:ascii="宋体" w:hAnsi="宋体"/>
                <w:color w:val="000000"/>
                <w:kern w:val="0"/>
                <w:sz w:val="21"/>
                <w:szCs w:val="21"/>
              </w:rPr>
              <w:br w:type="textWrapping"/>
            </w:r>
            <w:r>
              <w:rPr>
                <w:rFonts w:hint="eastAsia" w:ascii="宋体" w:hAnsi="宋体"/>
                <w:color w:val="000000"/>
                <w:kern w:val="0"/>
                <w:sz w:val="21"/>
                <w:szCs w:val="21"/>
              </w:rPr>
              <w:t>9.2、具备防止核酸气溶胶污染风路设计，独立风路，负压设计</w:t>
            </w:r>
            <w:r>
              <w:rPr>
                <w:rFonts w:hint="eastAsia" w:ascii="宋体" w:hAnsi="宋体"/>
                <w:color w:val="000000"/>
                <w:kern w:val="0"/>
                <w:sz w:val="21"/>
                <w:szCs w:val="21"/>
              </w:rPr>
              <w:br w:type="textWrapping"/>
            </w:r>
            <w:r>
              <w:rPr>
                <w:rFonts w:hint="eastAsia" w:ascii="宋体" w:hAnsi="宋体"/>
                <w:color w:val="000000"/>
                <w:kern w:val="0"/>
                <w:sz w:val="21"/>
                <w:szCs w:val="21"/>
              </w:rPr>
              <w:t>9.3、独立负压HEPA高效过滤模块，配备有生物过滤棉过滤气溶胶</w:t>
            </w:r>
            <w:r>
              <w:rPr>
                <w:rFonts w:hint="eastAsia" w:ascii="宋体" w:hAnsi="宋体"/>
                <w:color w:val="000000"/>
                <w:kern w:val="0"/>
                <w:sz w:val="21"/>
                <w:szCs w:val="21"/>
              </w:rPr>
              <w:br w:type="textWrapping"/>
            </w:r>
            <w:r>
              <w:rPr>
                <w:rFonts w:hint="eastAsia" w:ascii="宋体" w:hAnsi="宋体"/>
                <w:color w:val="000000"/>
                <w:kern w:val="0"/>
                <w:sz w:val="21"/>
                <w:szCs w:val="21"/>
              </w:rPr>
              <w:t>10、数据接口：USB；</w:t>
            </w:r>
            <w:r>
              <w:rPr>
                <w:rFonts w:hint="eastAsia" w:ascii="宋体" w:hAnsi="宋体"/>
                <w:color w:val="000000"/>
                <w:kern w:val="0"/>
                <w:sz w:val="21"/>
                <w:szCs w:val="21"/>
              </w:rPr>
              <w:br w:type="textWrapping"/>
            </w:r>
            <w:r>
              <w:rPr>
                <w:rFonts w:hint="eastAsia" w:ascii="宋体" w:hAnsi="宋体"/>
                <w:color w:val="000000"/>
                <w:kern w:val="0"/>
                <w:sz w:val="21"/>
                <w:szCs w:val="21"/>
              </w:rPr>
              <w:t>11、磁珠回收率：≥95%</w:t>
            </w:r>
            <w:r>
              <w:rPr>
                <w:rFonts w:hint="eastAsia" w:ascii="宋体" w:hAnsi="宋体"/>
                <w:color w:val="000000"/>
                <w:kern w:val="0"/>
                <w:sz w:val="21"/>
                <w:szCs w:val="21"/>
              </w:rPr>
              <w:br w:type="textWrapping"/>
            </w:r>
            <w:r>
              <w:rPr>
                <w:rFonts w:hint="eastAsia" w:ascii="宋体" w:hAnsi="宋体"/>
                <w:color w:val="000000"/>
                <w:kern w:val="0"/>
                <w:sz w:val="21"/>
                <w:szCs w:val="21"/>
              </w:rPr>
              <w:t>12、自动舱门：电机驱动自动开关实验舱，无需人工拉动；</w:t>
            </w:r>
            <w:r>
              <w:rPr>
                <w:rFonts w:hint="eastAsia" w:ascii="宋体" w:hAnsi="宋体"/>
                <w:color w:val="000000"/>
                <w:kern w:val="0"/>
                <w:sz w:val="21"/>
                <w:szCs w:val="21"/>
              </w:rPr>
              <w:br w:type="textWrapping"/>
            </w:r>
            <w:r>
              <w:rPr>
                <w:rFonts w:hint="eastAsia" w:ascii="宋体" w:hAnsi="宋体"/>
                <w:color w:val="000000"/>
                <w:kern w:val="0"/>
                <w:sz w:val="21"/>
                <w:szCs w:val="21"/>
              </w:rPr>
              <w:t>13、设备资质：具有医疗器械注册证</w:t>
            </w:r>
            <w:r>
              <w:rPr>
                <w:rFonts w:hint="eastAsia" w:ascii="宋体" w:hAnsi="宋体"/>
                <w:color w:val="000000"/>
                <w:kern w:val="0"/>
                <w:sz w:val="21"/>
                <w:szCs w:val="21"/>
              </w:rPr>
              <w:br w:type="textWrapping"/>
            </w:r>
            <w:r>
              <w:rPr>
                <w:rFonts w:hint="eastAsia" w:ascii="宋体" w:hAnsi="宋体"/>
                <w:color w:val="000000"/>
                <w:kern w:val="0"/>
                <w:sz w:val="21"/>
                <w:szCs w:val="21"/>
              </w:rPr>
              <w:t>14、配套试剂：具有预封装的病毒、全血、细菌、组织、干血斑等配套提取试剂盒，其中病毒、全血、细菌提取试剂盒具备独立的医疗器械注册证；</w:t>
            </w:r>
            <w:r>
              <w:rPr>
                <w:rFonts w:hint="eastAsia" w:ascii="宋体" w:hAnsi="宋体"/>
                <w:color w:val="000000"/>
                <w:kern w:val="0"/>
                <w:sz w:val="21"/>
                <w:szCs w:val="21"/>
              </w:rPr>
              <w:br w:type="textWrapping"/>
            </w:r>
            <w:r>
              <w:rPr>
                <w:rFonts w:hint="eastAsia" w:ascii="宋体" w:hAnsi="宋体"/>
                <w:color w:val="000000"/>
                <w:kern w:val="0"/>
                <w:sz w:val="21"/>
                <w:szCs w:val="21"/>
              </w:rPr>
              <w:t>15、配套耗材：单条六联管、96深孔板两种不同耗材；</w:t>
            </w:r>
            <w:r>
              <w:rPr>
                <w:rFonts w:hint="eastAsia" w:ascii="宋体" w:hAnsi="宋体"/>
                <w:color w:val="000000"/>
                <w:kern w:val="0"/>
                <w:sz w:val="21"/>
                <w:szCs w:val="21"/>
              </w:rPr>
              <w:br w:type="textWrapping"/>
            </w:r>
            <w:r>
              <w:rPr>
                <w:rFonts w:hint="eastAsia" w:ascii="宋体" w:hAnsi="宋体"/>
                <w:color w:val="000000"/>
                <w:kern w:val="0"/>
                <w:sz w:val="21"/>
                <w:szCs w:val="21"/>
              </w:rPr>
              <w:t>二、商务要求：</w:t>
            </w:r>
            <w:r>
              <w:rPr>
                <w:rFonts w:hint="eastAsia" w:ascii="宋体" w:hAnsi="宋体"/>
                <w:color w:val="000000"/>
                <w:kern w:val="0"/>
                <w:sz w:val="21"/>
                <w:szCs w:val="21"/>
              </w:rPr>
              <w:br w:type="textWrapping"/>
            </w:r>
            <w:r>
              <w:rPr>
                <w:rFonts w:hint="eastAsia" w:ascii="宋体" w:hAnsi="宋体"/>
                <w:color w:val="000000"/>
                <w:kern w:val="0"/>
                <w:sz w:val="21"/>
                <w:szCs w:val="21"/>
              </w:rPr>
              <w:t>1、仪器及配套试剂均具有中国医疗器械注册证及专利证书</w:t>
            </w:r>
            <w:r>
              <w:rPr>
                <w:rFonts w:hint="eastAsia" w:ascii="宋体" w:hAnsi="宋体"/>
                <w:b/>
                <w:bCs/>
                <w:color w:val="000000"/>
                <w:kern w:val="0"/>
                <w:sz w:val="21"/>
                <w:szCs w:val="21"/>
              </w:rPr>
              <w:t>（投标文件商务、技术证明文件提供复印件）</w:t>
            </w:r>
          </w:p>
          <w:p>
            <w:pPr>
              <w:widowControl/>
              <w:jc w:val="left"/>
              <w:textAlignment w:val="center"/>
              <w:rPr>
                <w:rFonts w:ascii="宋体" w:hAnsi="宋体"/>
                <w:color w:val="000000"/>
                <w:kern w:val="0"/>
                <w:sz w:val="21"/>
                <w:szCs w:val="21"/>
              </w:rPr>
            </w:pPr>
            <w:r>
              <w:rPr>
                <w:rFonts w:hint="eastAsia" w:ascii="宋体" w:hAnsi="宋体"/>
                <w:color w:val="000000"/>
                <w:kern w:val="0"/>
                <w:sz w:val="21"/>
                <w:szCs w:val="21"/>
              </w:rPr>
              <w:t>2、ISO13485医疗器械质量管理体系认证</w:t>
            </w:r>
            <w:r>
              <w:rPr>
                <w:rFonts w:hint="eastAsia" w:ascii="宋体" w:hAnsi="宋体"/>
                <w:b/>
                <w:bCs/>
                <w:color w:val="000000"/>
                <w:kern w:val="0"/>
                <w:sz w:val="21"/>
                <w:szCs w:val="21"/>
              </w:rPr>
              <w:t>（投标文件商务、技术证明文件提供复印件）</w:t>
            </w:r>
          </w:p>
          <w:p>
            <w:pPr>
              <w:widowControl/>
              <w:jc w:val="left"/>
              <w:textAlignment w:val="center"/>
              <w:rPr>
                <w:rFonts w:ascii="宋体" w:hAnsi="宋体"/>
                <w:color w:val="000000"/>
                <w:sz w:val="21"/>
                <w:szCs w:val="21"/>
              </w:rPr>
            </w:pPr>
            <w:r>
              <w:rPr>
                <w:rFonts w:hint="eastAsia" w:ascii="宋体" w:hAnsi="宋体"/>
                <w:color w:val="000000"/>
                <w:kern w:val="0"/>
                <w:sz w:val="21"/>
                <w:szCs w:val="21"/>
              </w:rPr>
              <w:t>3、设备质保24个月；</w:t>
            </w:r>
          </w:p>
        </w:tc>
      </w:tr>
      <w:tr>
        <w:tblPrEx>
          <w:tblCellMar>
            <w:top w:w="0" w:type="dxa"/>
            <w:left w:w="0" w:type="dxa"/>
            <w:bottom w:w="0" w:type="dxa"/>
            <w:right w:w="0" w:type="dxa"/>
          </w:tblCellMar>
        </w:tblPrEx>
        <w:trPr>
          <w:trHeight w:val="4480" w:hRule="atLeast"/>
        </w:trPr>
        <w:tc>
          <w:tcPr>
            <w:tcW w:w="711"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hAnsi="宋体"/>
                <w:b/>
                <w:color w:val="000000"/>
                <w:sz w:val="21"/>
                <w:szCs w:val="21"/>
              </w:rPr>
            </w:pPr>
          </w:p>
        </w:tc>
        <w:tc>
          <w:tcPr>
            <w:tcW w:w="4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olor w:val="000000"/>
                <w:sz w:val="21"/>
                <w:szCs w:val="21"/>
              </w:rPr>
            </w:pPr>
            <w:r>
              <w:rPr>
                <w:rFonts w:hint="eastAsia" w:ascii="宋体" w:hAnsi="宋体"/>
                <w:color w:val="000000"/>
                <w:kern w:val="0"/>
                <w:sz w:val="21"/>
                <w:szCs w:val="21"/>
              </w:rPr>
              <w:t>14</w:t>
            </w:r>
          </w:p>
        </w:tc>
        <w:tc>
          <w:tcPr>
            <w:tcW w:w="7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olor w:val="000000"/>
                <w:sz w:val="21"/>
                <w:szCs w:val="21"/>
              </w:rPr>
            </w:pPr>
            <w:r>
              <w:rPr>
                <w:rFonts w:hint="eastAsia" w:ascii="宋体" w:hAnsi="宋体"/>
                <w:color w:val="000000"/>
                <w:kern w:val="0"/>
                <w:sz w:val="21"/>
                <w:szCs w:val="21"/>
              </w:rPr>
              <w:t>金属浴</w:t>
            </w:r>
          </w:p>
        </w:tc>
        <w:tc>
          <w:tcPr>
            <w:tcW w:w="60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olor w:val="000000"/>
                <w:sz w:val="21"/>
                <w:szCs w:val="21"/>
              </w:rPr>
            </w:pPr>
            <w:r>
              <w:rPr>
                <w:rFonts w:hint="eastAsia" w:ascii="宋体" w:hAnsi="宋体"/>
                <w:color w:val="000000"/>
                <w:kern w:val="0"/>
                <w:sz w:val="21"/>
                <w:szCs w:val="21"/>
              </w:rPr>
              <w:t>1台</w:t>
            </w:r>
          </w:p>
        </w:tc>
        <w:tc>
          <w:tcPr>
            <w:tcW w:w="743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宋体" w:hAnsi="宋体"/>
                <w:color w:val="000000"/>
                <w:sz w:val="21"/>
                <w:szCs w:val="21"/>
              </w:rPr>
            </w:pPr>
            <w:r>
              <w:rPr>
                <w:rStyle w:val="71"/>
                <w:rFonts w:hint="default"/>
                <w:sz w:val="21"/>
                <w:szCs w:val="21"/>
              </w:rPr>
              <w:t>温度控制范围-10℃~100℃</w:t>
            </w:r>
            <w:r>
              <w:rPr>
                <w:rStyle w:val="71"/>
                <w:rFonts w:hint="default"/>
                <w:sz w:val="21"/>
                <w:szCs w:val="21"/>
              </w:rPr>
              <w:br w:type="textWrapping"/>
            </w:r>
            <w:r>
              <w:rPr>
                <w:rStyle w:val="71"/>
                <w:rFonts w:hint="default"/>
                <w:sz w:val="21"/>
                <w:szCs w:val="21"/>
              </w:rPr>
              <w:t>时间设置最长99h59min</w:t>
            </w:r>
            <w:r>
              <w:rPr>
                <w:rStyle w:val="71"/>
                <w:rFonts w:hint="default"/>
                <w:sz w:val="21"/>
                <w:szCs w:val="21"/>
              </w:rPr>
              <w:br w:type="textWrapping"/>
            </w:r>
            <w:r>
              <w:rPr>
                <w:rStyle w:val="71"/>
                <w:rFonts w:hint="default"/>
                <w:sz w:val="21"/>
                <w:szCs w:val="21"/>
              </w:rPr>
              <w:t>温度稳定性@100℃±0.5℃</w:t>
            </w:r>
            <w:r>
              <w:rPr>
                <w:rStyle w:val="71"/>
                <w:rFonts w:hint="default"/>
                <w:sz w:val="21"/>
                <w:szCs w:val="21"/>
              </w:rPr>
              <w:br w:type="textWrapping"/>
            </w:r>
            <w:r>
              <w:rPr>
                <w:rStyle w:val="71"/>
                <w:rFonts w:hint="default"/>
                <w:sz w:val="21"/>
                <w:szCs w:val="21"/>
              </w:rPr>
              <w:t>显示精度0.1℃</w:t>
            </w:r>
            <w:r>
              <w:rPr>
                <w:rStyle w:val="71"/>
                <w:rFonts w:hint="default"/>
                <w:sz w:val="21"/>
                <w:szCs w:val="21"/>
              </w:rPr>
              <w:br w:type="textWrapping"/>
            </w:r>
            <w:r>
              <w:rPr>
                <w:rStyle w:val="71"/>
                <w:rFonts w:hint="default"/>
                <w:sz w:val="21"/>
                <w:szCs w:val="21"/>
              </w:rPr>
              <w:t>升温时间(从25℃升至100℃)≤15min</w:t>
            </w:r>
            <w:r>
              <w:rPr>
                <w:rStyle w:val="71"/>
                <w:rFonts w:hint="default"/>
                <w:sz w:val="21"/>
                <w:szCs w:val="21"/>
              </w:rPr>
              <w:br w:type="textWrapping"/>
            </w:r>
            <w:r>
              <w:rPr>
                <w:rStyle w:val="71"/>
                <w:rFonts w:hint="default"/>
                <w:sz w:val="21"/>
                <w:szCs w:val="21"/>
              </w:rPr>
              <w:t>冷却时间(20℃降至0℃)</w:t>
            </w:r>
            <w:r>
              <w:rPr>
                <w:rStyle w:val="71"/>
                <w:rFonts w:hint="default"/>
                <w:sz w:val="21"/>
                <w:szCs w:val="21"/>
              </w:rPr>
              <w:br w:type="textWrapping"/>
            </w:r>
            <w:r>
              <w:rPr>
                <w:rStyle w:val="71"/>
                <w:rFonts w:hint="default"/>
                <w:sz w:val="21"/>
                <w:szCs w:val="21"/>
              </w:rPr>
              <w:t>25℃～-10℃≤15min（环境温度≤20℃）</w:t>
            </w:r>
            <w:r>
              <w:rPr>
                <w:rStyle w:val="71"/>
                <w:rFonts w:hint="default"/>
                <w:sz w:val="21"/>
                <w:szCs w:val="21"/>
              </w:rPr>
              <w:br w:type="textWrapping"/>
            </w:r>
            <w:r>
              <w:rPr>
                <w:rStyle w:val="71"/>
                <w:rFonts w:hint="default"/>
                <w:sz w:val="21"/>
                <w:szCs w:val="21"/>
              </w:rPr>
              <w:t>25℃～0℃ ≤15min（环境温度＜30℃）</w:t>
            </w:r>
            <w:r>
              <w:rPr>
                <w:rStyle w:val="71"/>
                <w:rFonts w:hint="default"/>
                <w:sz w:val="21"/>
                <w:szCs w:val="21"/>
              </w:rPr>
              <w:br w:type="textWrapping"/>
            </w:r>
            <w:r>
              <w:rPr>
                <w:rStyle w:val="71"/>
                <w:rFonts w:hint="default"/>
                <w:sz w:val="21"/>
                <w:szCs w:val="21"/>
              </w:rPr>
              <w:t>认证机构CE</w:t>
            </w:r>
            <w:r>
              <w:rPr>
                <w:rStyle w:val="71"/>
                <w:rFonts w:hint="default"/>
                <w:sz w:val="21"/>
                <w:szCs w:val="21"/>
              </w:rPr>
              <w:br w:type="textWrapping"/>
            </w:r>
            <w:r>
              <w:rPr>
                <w:rStyle w:val="71"/>
                <w:rFonts w:hint="default"/>
                <w:sz w:val="21"/>
                <w:szCs w:val="21"/>
              </w:rPr>
              <w:t>最大功率200W</w:t>
            </w:r>
            <w:r>
              <w:rPr>
                <w:rStyle w:val="71"/>
                <w:rFonts w:hint="default"/>
                <w:sz w:val="21"/>
                <w:szCs w:val="21"/>
              </w:rPr>
              <w:br w:type="textWrapping"/>
            </w:r>
            <w:r>
              <w:rPr>
                <w:rStyle w:val="71"/>
                <w:rFonts w:hint="default"/>
                <w:sz w:val="21"/>
                <w:szCs w:val="21"/>
              </w:rPr>
              <w:t>外形尺寸(mm)300×220×180</w:t>
            </w:r>
          </w:p>
        </w:tc>
      </w:tr>
      <w:tr>
        <w:tblPrEx>
          <w:tblCellMar>
            <w:top w:w="0" w:type="dxa"/>
            <w:left w:w="0" w:type="dxa"/>
            <w:bottom w:w="0" w:type="dxa"/>
            <w:right w:w="0" w:type="dxa"/>
          </w:tblCellMar>
        </w:tblPrEx>
        <w:trPr>
          <w:trHeight w:val="5720" w:hRule="atLeast"/>
        </w:trPr>
        <w:tc>
          <w:tcPr>
            <w:tcW w:w="711" w:type="dxa"/>
            <w:vMerge w:val="restart"/>
            <w:tcBorders>
              <w:top w:val="single" w:color="000000" w:sz="4" w:space="0"/>
              <w:left w:val="single" w:color="000000" w:sz="4" w:space="0"/>
              <w:bottom w:val="nil"/>
              <w:right w:val="single" w:color="000000" w:sz="4" w:space="0"/>
            </w:tcBorders>
            <w:tcMar>
              <w:top w:w="15" w:type="dxa"/>
              <w:left w:w="15" w:type="dxa"/>
              <w:right w:w="15" w:type="dxa"/>
            </w:tcMar>
            <w:vAlign w:val="center"/>
          </w:tcPr>
          <w:p>
            <w:pPr>
              <w:widowControl/>
              <w:jc w:val="center"/>
              <w:textAlignment w:val="center"/>
              <w:rPr>
                <w:rFonts w:ascii="宋体" w:hAnsi="宋体"/>
                <w:b/>
                <w:color w:val="000000"/>
                <w:sz w:val="21"/>
                <w:szCs w:val="21"/>
              </w:rPr>
            </w:pPr>
            <w:r>
              <w:rPr>
                <w:rFonts w:hint="eastAsia" w:ascii="宋体" w:hAnsi="宋体"/>
                <w:b/>
                <w:color w:val="000000"/>
                <w:kern w:val="0"/>
                <w:sz w:val="21"/>
                <w:szCs w:val="21"/>
              </w:rPr>
              <w:t>扩增区</w:t>
            </w:r>
          </w:p>
        </w:tc>
        <w:tc>
          <w:tcPr>
            <w:tcW w:w="4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olor w:val="000000"/>
                <w:sz w:val="21"/>
                <w:szCs w:val="21"/>
              </w:rPr>
            </w:pPr>
            <w:r>
              <w:rPr>
                <w:rFonts w:hint="eastAsia" w:ascii="宋体" w:hAnsi="宋体"/>
                <w:color w:val="000000"/>
                <w:kern w:val="0"/>
                <w:sz w:val="21"/>
                <w:szCs w:val="21"/>
              </w:rPr>
              <w:t>15</w:t>
            </w:r>
          </w:p>
        </w:tc>
        <w:tc>
          <w:tcPr>
            <w:tcW w:w="7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olor w:val="000000"/>
                <w:kern w:val="0"/>
                <w:sz w:val="21"/>
                <w:szCs w:val="21"/>
              </w:rPr>
            </w:pPr>
            <w:r>
              <w:rPr>
                <w:rFonts w:hint="eastAsia" w:ascii="宋体" w:hAnsi="宋体"/>
                <w:color w:val="000000"/>
                <w:kern w:val="0"/>
                <w:sz w:val="21"/>
                <w:szCs w:val="21"/>
              </w:rPr>
              <w:t>荧光定量PCR仪</w:t>
            </w:r>
          </w:p>
          <w:p>
            <w:pPr>
              <w:widowControl/>
              <w:jc w:val="center"/>
              <w:textAlignment w:val="center"/>
              <w:rPr>
                <w:rFonts w:ascii="宋体" w:hAnsi="宋体"/>
                <w:color w:val="000000"/>
                <w:kern w:val="0"/>
                <w:sz w:val="21"/>
                <w:szCs w:val="21"/>
              </w:rPr>
            </w:pPr>
            <w:r>
              <w:rPr>
                <w:rFonts w:hint="eastAsia"/>
              </w:rPr>
              <w:t>（</w:t>
            </w:r>
            <w:r>
              <w:rPr>
                <w:rFonts w:hint="eastAsia"/>
                <w:sz w:val="21"/>
                <w:szCs w:val="21"/>
              </w:rPr>
              <w:t>进口产品</w:t>
            </w:r>
            <w:r>
              <w:rPr>
                <w:rFonts w:hint="eastAsia"/>
              </w:rPr>
              <w:t>）</w:t>
            </w:r>
          </w:p>
        </w:tc>
        <w:tc>
          <w:tcPr>
            <w:tcW w:w="60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olor w:val="000000"/>
                <w:sz w:val="21"/>
                <w:szCs w:val="21"/>
              </w:rPr>
            </w:pPr>
            <w:r>
              <w:rPr>
                <w:rFonts w:hint="eastAsia" w:ascii="宋体" w:hAnsi="宋体"/>
                <w:color w:val="000000"/>
                <w:kern w:val="0"/>
                <w:sz w:val="21"/>
                <w:szCs w:val="21"/>
              </w:rPr>
              <w:t>1台</w:t>
            </w:r>
          </w:p>
        </w:tc>
        <w:tc>
          <w:tcPr>
            <w:tcW w:w="743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Style w:val="71"/>
                <w:rFonts w:hint="default"/>
                <w:sz w:val="21"/>
                <w:szCs w:val="21"/>
              </w:rPr>
            </w:pPr>
            <w:r>
              <w:rPr>
                <w:rStyle w:val="71"/>
                <w:rFonts w:hint="default"/>
                <w:sz w:val="21"/>
                <w:szCs w:val="21"/>
              </w:rPr>
              <w:t>1．工作环境</w:t>
            </w:r>
          </w:p>
          <w:p>
            <w:pPr>
              <w:widowControl/>
              <w:jc w:val="left"/>
              <w:textAlignment w:val="center"/>
              <w:rPr>
                <w:rStyle w:val="71"/>
                <w:rFonts w:hint="default"/>
                <w:sz w:val="21"/>
                <w:szCs w:val="21"/>
              </w:rPr>
            </w:pPr>
            <w:r>
              <w:rPr>
                <w:rStyle w:val="71"/>
                <w:rFonts w:hint="default"/>
                <w:sz w:val="21"/>
                <w:szCs w:val="21"/>
              </w:rPr>
              <w:t>1.1 工作温度5-31℃</w:t>
            </w:r>
          </w:p>
          <w:p>
            <w:pPr>
              <w:widowControl/>
              <w:jc w:val="left"/>
              <w:textAlignment w:val="center"/>
              <w:rPr>
                <w:rStyle w:val="71"/>
                <w:rFonts w:hint="default"/>
                <w:sz w:val="21"/>
                <w:szCs w:val="21"/>
              </w:rPr>
            </w:pPr>
            <w:r>
              <w:rPr>
                <w:rStyle w:val="71"/>
                <w:rFonts w:hint="default"/>
                <w:sz w:val="21"/>
                <w:szCs w:val="21"/>
              </w:rPr>
              <w:t>1.2 工作湿度相对湿度≤80%</w:t>
            </w:r>
          </w:p>
          <w:p>
            <w:pPr>
              <w:widowControl/>
              <w:jc w:val="left"/>
              <w:textAlignment w:val="center"/>
              <w:rPr>
                <w:rStyle w:val="71"/>
                <w:rFonts w:hint="default"/>
                <w:sz w:val="21"/>
                <w:szCs w:val="21"/>
              </w:rPr>
            </w:pPr>
            <w:r>
              <w:rPr>
                <w:rStyle w:val="71"/>
                <w:rFonts w:hint="default"/>
                <w:sz w:val="21"/>
                <w:szCs w:val="21"/>
              </w:rPr>
              <w:t>1.3 工作电源100–240 VAC, 50–60HZ.</w:t>
            </w:r>
          </w:p>
          <w:p>
            <w:pPr>
              <w:widowControl/>
              <w:jc w:val="left"/>
              <w:textAlignment w:val="center"/>
              <w:rPr>
                <w:rStyle w:val="71"/>
                <w:rFonts w:hint="default"/>
                <w:sz w:val="21"/>
                <w:szCs w:val="21"/>
              </w:rPr>
            </w:pPr>
            <w:r>
              <w:rPr>
                <w:rStyle w:val="71"/>
                <w:rFonts w:hint="default"/>
                <w:sz w:val="21"/>
                <w:szCs w:val="21"/>
              </w:rPr>
              <w:t xml:space="preserve">2．功能：可用于核酸定量、基因表达水平分析、基因突变检测、GMO 检测及产物特异性分析等多种研究领域。 </w:t>
            </w:r>
          </w:p>
          <w:p>
            <w:pPr>
              <w:widowControl/>
              <w:jc w:val="left"/>
              <w:textAlignment w:val="center"/>
              <w:rPr>
                <w:rStyle w:val="71"/>
                <w:rFonts w:hint="default"/>
                <w:sz w:val="21"/>
                <w:szCs w:val="21"/>
              </w:rPr>
            </w:pPr>
            <w:r>
              <w:rPr>
                <w:rStyle w:val="71"/>
                <w:rFonts w:hint="default"/>
                <w:sz w:val="21"/>
                <w:szCs w:val="21"/>
              </w:rPr>
              <w:t>3．性能与技术要求</w:t>
            </w:r>
          </w:p>
          <w:p>
            <w:pPr>
              <w:widowControl/>
              <w:jc w:val="left"/>
              <w:textAlignment w:val="center"/>
              <w:rPr>
                <w:rStyle w:val="71"/>
                <w:rFonts w:hint="default"/>
                <w:sz w:val="21"/>
                <w:szCs w:val="21"/>
              </w:rPr>
            </w:pPr>
            <w:r>
              <w:rPr>
                <w:rStyle w:val="71"/>
                <w:rFonts w:hint="default"/>
                <w:sz w:val="21"/>
                <w:szCs w:val="21"/>
              </w:rPr>
              <w:t>3. 1 主要性能</w:t>
            </w:r>
          </w:p>
          <w:p>
            <w:pPr>
              <w:widowControl/>
              <w:jc w:val="left"/>
              <w:textAlignment w:val="center"/>
              <w:rPr>
                <w:rStyle w:val="71"/>
                <w:rFonts w:hint="default"/>
                <w:sz w:val="21"/>
                <w:szCs w:val="21"/>
              </w:rPr>
            </w:pPr>
            <w:r>
              <w:rPr>
                <w:rStyle w:val="71"/>
                <w:rFonts w:hint="default"/>
                <w:sz w:val="21"/>
                <w:szCs w:val="21"/>
              </w:rPr>
              <w:t>*3.1.1 5色发射滤光片结合5色激发光滤光片。可以升级到通道数： 6色激发光通道和6色检测光通道可自由组合。</w:t>
            </w:r>
          </w:p>
          <w:p>
            <w:pPr>
              <w:widowControl/>
              <w:jc w:val="left"/>
              <w:textAlignment w:val="center"/>
              <w:rPr>
                <w:rStyle w:val="71"/>
                <w:rFonts w:hint="default"/>
                <w:sz w:val="21"/>
                <w:szCs w:val="21"/>
              </w:rPr>
            </w:pPr>
            <w:r>
              <w:rPr>
                <w:rStyle w:val="71"/>
                <w:rFonts w:hint="default"/>
                <w:sz w:val="21"/>
                <w:szCs w:val="21"/>
              </w:rPr>
              <w:t>3.1.2 适用于多种荧光方法：染料法及探针法；</w:t>
            </w:r>
          </w:p>
          <w:p>
            <w:pPr>
              <w:widowControl/>
              <w:jc w:val="left"/>
              <w:textAlignment w:val="center"/>
              <w:rPr>
                <w:rStyle w:val="71"/>
                <w:rFonts w:hint="default"/>
                <w:sz w:val="21"/>
                <w:szCs w:val="21"/>
              </w:rPr>
            </w:pPr>
            <w:r>
              <w:rPr>
                <w:rStyle w:val="71"/>
                <w:rFonts w:hint="default"/>
                <w:sz w:val="21"/>
                <w:szCs w:val="21"/>
              </w:rPr>
              <w:t>3.1.3 试剂耗材完全开放，各种科研和临床试剂适用，可使用0.2ml 单管、八联管、96 孔板等</w:t>
            </w:r>
          </w:p>
          <w:p>
            <w:pPr>
              <w:widowControl/>
              <w:jc w:val="left"/>
              <w:textAlignment w:val="center"/>
              <w:rPr>
                <w:rStyle w:val="71"/>
                <w:rFonts w:hint="default"/>
                <w:sz w:val="21"/>
                <w:szCs w:val="21"/>
              </w:rPr>
            </w:pPr>
            <w:r>
              <w:rPr>
                <w:rStyle w:val="71"/>
                <w:rFonts w:hint="default"/>
                <w:sz w:val="21"/>
                <w:szCs w:val="21"/>
              </w:rPr>
              <w:t>*3.1.4 可独立运行，真正离线操作，内置触摸屏电脑。可备份还原超过100次的实验数据；仪器触摸屏提供了一键式的实验方案，可快速地设置多种应用。可支持无外接电脑控制分析。</w:t>
            </w:r>
          </w:p>
          <w:p>
            <w:pPr>
              <w:widowControl/>
              <w:jc w:val="left"/>
              <w:textAlignment w:val="center"/>
              <w:rPr>
                <w:rStyle w:val="71"/>
                <w:rFonts w:hint="default"/>
                <w:sz w:val="21"/>
                <w:szCs w:val="21"/>
              </w:rPr>
            </w:pPr>
            <w:r>
              <w:rPr>
                <w:rStyle w:val="71"/>
                <w:rFonts w:hint="default"/>
                <w:sz w:val="21"/>
                <w:szCs w:val="21"/>
              </w:rPr>
              <w:t>3.2 主要技术要求</w:t>
            </w:r>
          </w:p>
          <w:p>
            <w:pPr>
              <w:widowControl/>
              <w:jc w:val="left"/>
              <w:textAlignment w:val="center"/>
              <w:rPr>
                <w:rStyle w:val="71"/>
                <w:rFonts w:hint="default"/>
                <w:sz w:val="21"/>
                <w:szCs w:val="21"/>
              </w:rPr>
            </w:pPr>
            <w:r>
              <w:rPr>
                <w:rStyle w:val="71"/>
                <w:rFonts w:hint="default"/>
                <w:sz w:val="21"/>
                <w:szCs w:val="21"/>
              </w:rPr>
              <w:t>3.2.1 样品容量：96孔0.2ml，可使用标准规格96 孔板、8联管、单管；</w:t>
            </w:r>
          </w:p>
          <w:p>
            <w:pPr>
              <w:widowControl/>
              <w:jc w:val="left"/>
              <w:textAlignment w:val="center"/>
              <w:rPr>
                <w:rStyle w:val="71"/>
                <w:rFonts w:hint="default"/>
                <w:sz w:val="21"/>
                <w:szCs w:val="21"/>
              </w:rPr>
            </w:pPr>
            <w:r>
              <w:rPr>
                <w:rStyle w:val="71"/>
                <w:rFonts w:hint="default"/>
                <w:sz w:val="21"/>
                <w:szCs w:val="21"/>
              </w:rPr>
              <w:t>3.2.2 加热方式：半导体加热；</w:t>
            </w:r>
          </w:p>
          <w:p>
            <w:pPr>
              <w:widowControl/>
              <w:jc w:val="left"/>
              <w:textAlignment w:val="center"/>
              <w:rPr>
                <w:rStyle w:val="71"/>
                <w:rFonts w:hint="default"/>
                <w:sz w:val="21"/>
                <w:szCs w:val="21"/>
              </w:rPr>
            </w:pPr>
            <w:r>
              <w:rPr>
                <w:rStyle w:val="71"/>
                <w:rFonts w:hint="default"/>
                <w:sz w:val="21"/>
                <w:szCs w:val="21"/>
              </w:rPr>
              <w:t>3.2.3 反应体系：10-50μl；</w:t>
            </w:r>
          </w:p>
          <w:p>
            <w:pPr>
              <w:widowControl/>
              <w:jc w:val="left"/>
              <w:textAlignment w:val="center"/>
              <w:rPr>
                <w:rStyle w:val="71"/>
                <w:rFonts w:hint="default"/>
                <w:sz w:val="21"/>
                <w:szCs w:val="21"/>
              </w:rPr>
            </w:pPr>
            <w:r>
              <w:rPr>
                <w:rStyle w:val="71"/>
                <w:rFonts w:hint="default"/>
                <w:sz w:val="21"/>
                <w:szCs w:val="21"/>
              </w:rPr>
              <w:t>*3.2.4光源：高能量合金卤素灯或LED光源；</w:t>
            </w:r>
          </w:p>
          <w:p>
            <w:pPr>
              <w:widowControl/>
              <w:jc w:val="left"/>
              <w:textAlignment w:val="center"/>
              <w:rPr>
                <w:rStyle w:val="71"/>
                <w:rFonts w:hint="default"/>
                <w:sz w:val="21"/>
                <w:szCs w:val="21"/>
              </w:rPr>
            </w:pPr>
            <w:r>
              <w:rPr>
                <w:rStyle w:val="71"/>
                <w:rFonts w:hint="default"/>
                <w:sz w:val="21"/>
                <w:szCs w:val="21"/>
              </w:rPr>
              <w:t xml:space="preserve">*3.2.5 检测器：光敏二极管或者光电倍增管检测器 </w:t>
            </w:r>
          </w:p>
          <w:p>
            <w:pPr>
              <w:widowControl/>
              <w:jc w:val="left"/>
              <w:textAlignment w:val="center"/>
              <w:rPr>
                <w:rStyle w:val="71"/>
                <w:rFonts w:hint="default"/>
                <w:sz w:val="21"/>
                <w:szCs w:val="21"/>
              </w:rPr>
            </w:pPr>
            <w:r>
              <w:rPr>
                <w:rStyle w:val="71"/>
                <w:rFonts w:hint="default"/>
                <w:sz w:val="21"/>
                <w:szCs w:val="21"/>
              </w:rPr>
              <w:t>*3.2.6模块最高升温速率：≥5℃/秒；</w:t>
            </w:r>
          </w:p>
          <w:p>
            <w:pPr>
              <w:widowControl/>
              <w:jc w:val="left"/>
              <w:textAlignment w:val="center"/>
              <w:rPr>
                <w:rStyle w:val="71"/>
                <w:rFonts w:hint="default"/>
                <w:sz w:val="21"/>
                <w:szCs w:val="21"/>
              </w:rPr>
            </w:pPr>
            <w:r>
              <w:rPr>
                <w:rStyle w:val="71"/>
                <w:rFonts w:hint="default"/>
                <w:sz w:val="21"/>
                <w:szCs w:val="21"/>
              </w:rPr>
              <w:t>3.2.7温控范围：0-100℃、并可设置6个以上温度梯度</w:t>
            </w:r>
          </w:p>
          <w:p>
            <w:pPr>
              <w:widowControl/>
              <w:jc w:val="left"/>
              <w:textAlignment w:val="center"/>
              <w:rPr>
                <w:rStyle w:val="71"/>
                <w:rFonts w:hint="default"/>
                <w:sz w:val="21"/>
                <w:szCs w:val="21"/>
              </w:rPr>
            </w:pPr>
            <w:r>
              <w:rPr>
                <w:rStyle w:val="71"/>
                <w:rFonts w:hint="default"/>
                <w:sz w:val="21"/>
                <w:szCs w:val="21"/>
              </w:rPr>
              <w:t>3.2.8温度准确性：±0.2℃（温度范围：35℃至95℃）；</w:t>
            </w:r>
          </w:p>
          <w:p>
            <w:pPr>
              <w:widowControl/>
              <w:jc w:val="left"/>
              <w:textAlignment w:val="center"/>
              <w:rPr>
                <w:rStyle w:val="71"/>
                <w:rFonts w:hint="default"/>
                <w:sz w:val="21"/>
                <w:szCs w:val="21"/>
              </w:rPr>
            </w:pPr>
            <w:r>
              <w:rPr>
                <w:rStyle w:val="71"/>
                <w:rFonts w:hint="default"/>
                <w:sz w:val="21"/>
                <w:szCs w:val="21"/>
              </w:rPr>
              <w:t>3.2.9 温度均一性：±0.4℃（温度范围：35℃至95℃）；</w:t>
            </w:r>
          </w:p>
          <w:p>
            <w:pPr>
              <w:widowControl/>
              <w:jc w:val="left"/>
              <w:textAlignment w:val="center"/>
              <w:rPr>
                <w:rStyle w:val="71"/>
                <w:rFonts w:hint="default"/>
                <w:sz w:val="21"/>
                <w:szCs w:val="21"/>
              </w:rPr>
            </w:pPr>
            <w:r>
              <w:rPr>
                <w:rStyle w:val="71"/>
                <w:rFonts w:hint="default"/>
                <w:sz w:val="21"/>
                <w:szCs w:val="21"/>
              </w:rPr>
              <w:t>3.2.10 激发/发射波长范围：455-672nm;</w:t>
            </w:r>
          </w:p>
          <w:p>
            <w:pPr>
              <w:widowControl/>
              <w:jc w:val="left"/>
              <w:textAlignment w:val="center"/>
              <w:rPr>
                <w:rStyle w:val="71"/>
                <w:rFonts w:hint="default"/>
                <w:sz w:val="21"/>
                <w:szCs w:val="21"/>
              </w:rPr>
            </w:pPr>
            <w:r>
              <w:rPr>
                <w:rStyle w:val="71"/>
                <w:rFonts w:hint="default"/>
                <w:sz w:val="21"/>
                <w:szCs w:val="21"/>
              </w:rPr>
              <w:t>3.2.11 灵敏度：能检测人类基因组中单拷贝基因；</w:t>
            </w:r>
          </w:p>
          <w:p>
            <w:pPr>
              <w:widowControl/>
              <w:jc w:val="left"/>
              <w:textAlignment w:val="center"/>
              <w:rPr>
                <w:rStyle w:val="71"/>
                <w:rFonts w:hint="default"/>
                <w:sz w:val="21"/>
                <w:szCs w:val="21"/>
              </w:rPr>
            </w:pPr>
            <w:r>
              <w:rPr>
                <w:rStyle w:val="71"/>
                <w:rFonts w:hint="default"/>
                <w:sz w:val="21"/>
                <w:szCs w:val="21"/>
              </w:rPr>
              <w:t>3.2.12 动态范围：10 个数量级；</w:t>
            </w:r>
          </w:p>
          <w:p>
            <w:pPr>
              <w:widowControl/>
              <w:jc w:val="left"/>
              <w:textAlignment w:val="center"/>
              <w:rPr>
                <w:rStyle w:val="71"/>
                <w:rFonts w:hint="default"/>
                <w:sz w:val="21"/>
                <w:szCs w:val="21"/>
              </w:rPr>
            </w:pPr>
            <w:r>
              <w:rPr>
                <w:rStyle w:val="71"/>
                <w:rFonts w:hint="default"/>
                <w:sz w:val="21"/>
                <w:szCs w:val="21"/>
              </w:rPr>
              <w:t>3.2.13 显示：彩色触摸屏；</w:t>
            </w:r>
          </w:p>
          <w:p>
            <w:pPr>
              <w:widowControl/>
              <w:jc w:val="left"/>
              <w:textAlignment w:val="center"/>
              <w:rPr>
                <w:rStyle w:val="71"/>
                <w:rFonts w:hint="default"/>
                <w:sz w:val="21"/>
                <w:szCs w:val="21"/>
              </w:rPr>
            </w:pPr>
            <w:r>
              <w:rPr>
                <w:rStyle w:val="71"/>
                <w:rFonts w:hint="default"/>
                <w:sz w:val="21"/>
                <w:szCs w:val="21"/>
              </w:rPr>
              <w:t>3.2.14 数据分析模式：标准曲线定量、熔解曲线、CT 或ΔΔCT 基因表达分析、多内参基因分析和扩增效率计算、多个数据文件的基因表达分析、等位基因分析、终点分析、具有等位基因、熔解曲线分析功能</w:t>
            </w:r>
          </w:p>
          <w:p>
            <w:pPr>
              <w:widowControl/>
              <w:jc w:val="left"/>
              <w:textAlignment w:val="center"/>
              <w:rPr>
                <w:rStyle w:val="71"/>
                <w:rFonts w:hint="default"/>
                <w:sz w:val="21"/>
                <w:szCs w:val="21"/>
              </w:rPr>
            </w:pPr>
            <w:r>
              <w:rPr>
                <w:rStyle w:val="71"/>
                <w:rFonts w:hint="default"/>
                <w:sz w:val="21"/>
                <w:szCs w:val="21"/>
              </w:rPr>
              <w:t>3.2.15 数据导出：Excel, Word, 或PowerPoint。用户报告包含运行设置，图形和表格数据结果，可直接打印或保存为PDF；</w:t>
            </w:r>
          </w:p>
          <w:p>
            <w:pPr>
              <w:widowControl/>
              <w:jc w:val="left"/>
              <w:textAlignment w:val="center"/>
              <w:rPr>
                <w:rStyle w:val="71"/>
                <w:rFonts w:hint="default"/>
                <w:sz w:val="21"/>
                <w:szCs w:val="21"/>
              </w:rPr>
            </w:pPr>
            <w:r>
              <w:rPr>
                <w:rStyle w:val="71"/>
                <w:rFonts w:hint="default"/>
                <w:sz w:val="21"/>
                <w:szCs w:val="21"/>
              </w:rPr>
              <w:t>3.2.16 染色体结构研究：采用real-time PCR 方法，通过比较核酸酶对基因组DNA 降解作用效果，定量分析染色质结构的方法。真正证明了染色质结构与基因表达之间的高度相关性；</w:t>
            </w:r>
          </w:p>
          <w:p>
            <w:pPr>
              <w:widowControl/>
              <w:jc w:val="left"/>
              <w:textAlignment w:val="center"/>
              <w:rPr>
                <w:rStyle w:val="71"/>
                <w:rFonts w:hint="default"/>
                <w:sz w:val="21"/>
                <w:szCs w:val="21"/>
              </w:rPr>
            </w:pPr>
            <w:r>
              <w:rPr>
                <w:rStyle w:val="71"/>
                <w:rFonts w:hint="default"/>
                <w:sz w:val="21"/>
                <w:szCs w:val="21"/>
              </w:rPr>
              <w:t>*3.2.17即开即用，免除装机和移机的繁琐检测，和后期的校正。客户可以自行完成移机，随时可以投入使用。也可支持ROX等被动染料校正，检测通道校正可选择（质保期内提供免费校正）</w:t>
            </w:r>
          </w:p>
          <w:p>
            <w:pPr>
              <w:widowControl/>
              <w:jc w:val="left"/>
              <w:textAlignment w:val="center"/>
              <w:rPr>
                <w:rStyle w:val="71"/>
                <w:rFonts w:hint="default"/>
                <w:sz w:val="21"/>
                <w:szCs w:val="21"/>
              </w:rPr>
            </w:pPr>
            <w:r>
              <w:rPr>
                <w:rStyle w:val="71"/>
                <w:rFonts w:hint="default"/>
                <w:sz w:val="21"/>
                <w:szCs w:val="21"/>
              </w:rPr>
              <w:t>4 配置清单</w:t>
            </w:r>
          </w:p>
          <w:p>
            <w:pPr>
              <w:widowControl/>
              <w:jc w:val="left"/>
              <w:textAlignment w:val="center"/>
              <w:rPr>
                <w:rStyle w:val="71"/>
                <w:rFonts w:hint="default"/>
                <w:sz w:val="21"/>
                <w:szCs w:val="21"/>
              </w:rPr>
            </w:pPr>
            <w:r>
              <w:rPr>
                <w:rStyle w:val="71"/>
                <w:rFonts w:hint="default"/>
                <w:sz w:val="21"/>
                <w:szCs w:val="21"/>
              </w:rPr>
              <w:t>4.1 主机一台；</w:t>
            </w:r>
          </w:p>
          <w:p>
            <w:pPr>
              <w:widowControl/>
              <w:jc w:val="left"/>
              <w:textAlignment w:val="center"/>
              <w:rPr>
                <w:rStyle w:val="71"/>
                <w:rFonts w:hint="default"/>
                <w:sz w:val="21"/>
                <w:szCs w:val="21"/>
              </w:rPr>
            </w:pPr>
            <w:r>
              <w:rPr>
                <w:rStyle w:val="71"/>
                <w:rFonts w:hint="default"/>
                <w:sz w:val="21"/>
                <w:szCs w:val="21"/>
              </w:rPr>
              <w:t>4.2  96孔0.2ml模块1个；</w:t>
            </w:r>
          </w:p>
          <w:p>
            <w:pPr>
              <w:widowControl/>
              <w:jc w:val="left"/>
              <w:textAlignment w:val="center"/>
              <w:rPr>
                <w:rStyle w:val="71"/>
                <w:rFonts w:hint="default"/>
                <w:sz w:val="21"/>
                <w:szCs w:val="21"/>
              </w:rPr>
            </w:pPr>
            <w:r>
              <w:rPr>
                <w:rStyle w:val="71"/>
                <w:rFonts w:hint="default"/>
                <w:sz w:val="21"/>
                <w:szCs w:val="21"/>
              </w:rPr>
              <w:t>4.3 原装品牌计算机（不低于I7，win10 64位正版操作系统）一台及控制分析软件，中文软件一套（仪器运行设置控制及分析）；</w:t>
            </w:r>
          </w:p>
          <w:p>
            <w:pPr>
              <w:widowControl/>
              <w:jc w:val="left"/>
              <w:textAlignment w:val="center"/>
              <w:rPr>
                <w:rStyle w:val="71"/>
                <w:rFonts w:hint="default"/>
                <w:sz w:val="21"/>
                <w:szCs w:val="21"/>
              </w:rPr>
            </w:pPr>
            <w:r>
              <w:rPr>
                <w:rStyle w:val="71"/>
                <w:rFonts w:hint="default"/>
                <w:sz w:val="21"/>
                <w:szCs w:val="21"/>
              </w:rPr>
              <w:t>4.4 英文软件一套（绝对定量、相对定量、融解曲线分析、终点分析、多板数据比较等功能）;</w:t>
            </w:r>
          </w:p>
          <w:p>
            <w:pPr>
              <w:widowControl/>
              <w:jc w:val="left"/>
              <w:textAlignment w:val="center"/>
              <w:rPr>
                <w:rFonts w:ascii="宋体" w:hAnsi="宋体"/>
                <w:color w:val="000000"/>
                <w:sz w:val="21"/>
                <w:szCs w:val="21"/>
              </w:rPr>
            </w:pPr>
            <w:r>
              <w:rPr>
                <w:rStyle w:val="71"/>
                <w:rFonts w:hint="default"/>
                <w:sz w:val="21"/>
                <w:szCs w:val="21"/>
              </w:rPr>
              <w:t>*4.5 正版探针及引物设计软件，可用于PCR引物，RT-PCR引物和Taqman探针的设计和自动测试。</w:t>
            </w:r>
          </w:p>
        </w:tc>
      </w:tr>
      <w:tr>
        <w:tblPrEx>
          <w:tblCellMar>
            <w:top w:w="0" w:type="dxa"/>
            <w:left w:w="0" w:type="dxa"/>
            <w:bottom w:w="0" w:type="dxa"/>
            <w:right w:w="0" w:type="dxa"/>
          </w:tblCellMar>
        </w:tblPrEx>
        <w:trPr>
          <w:trHeight w:val="1000" w:hRule="atLeast"/>
        </w:trPr>
        <w:tc>
          <w:tcPr>
            <w:tcW w:w="711" w:type="dxa"/>
            <w:vMerge w:val="continue"/>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pPr>
              <w:jc w:val="center"/>
              <w:rPr>
                <w:rFonts w:ascii="宋体" w:hAnsi="宋体"/>
                <w:b/>
                <w:color w:val="000000"/>
                <w:sz w:val="21"/>
                <w:szCs w:val="21"/>
              </w:rPr>
            </w:pPr>
          </w:p>
        </w:tc>
        <w:tc>
          <w:tcPr>
            <w:tcW w:w="4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olor w:val="000000"/>
                <w:sz w:val="21"/>
                <w:szCs w:val="21"/>
              </w:rPr>
            </w:pPr>
            <w:r>
              <w:rPr>
                <w:rFonts w:hint="eastAsia" w:ascii="宋体" w:hAnsi="宋体"/>
                <w:color w:val="000000"/>
                <w:kern w:val="0"/>
                <w:sz w:val="21"/>
                <w:szCs w:val="21"/>
              </w:rPr>
              <w:t>16</w:t>
            </w:r>
          </w:p>
        </w:tc>
        <w:tc>
          <w:tcPr>
            <w:tcW w:w="7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olor w:val="000000"/>
                <w:kern w:val="0"/>
                <w:sz w:val="21"/>
                <w:szCs w:val="21"/>
              </w:rPr>
            </w:pPr>
            <w:r>
              <w:rPr>
                <w:rFonts w:hint="eastAsia" w:ascii="宋体" w:hAnsi="宋体"/>
                <w:color w:val="000000"/>
                <w:kern w:val="0"/>
                <w:sz w:val="21"/>
                <w:szCs w:val="21"/>
              </w:rPr>
              <w:t>荧光定量PCR仪</w:t>
            </w:r>
          </w:p>
          <w:p>
            <w:pPr>
              <w:widowControl/>
              <w:jc w:val="center"/>
              <w:textAlignment w:val="center"/>
              <w:rPr>
                <w:rFonts w:ascii="宋体" w:hAnsi="宋体"/>
                <w:color w:val="000000"/>
                <w:sz w:val="21"/>
                <w:szCs w:val="21"/>
              </w:rPr>
            </w:pPr>
            <w:r>
              <w:rPr>
                <w:rFonts w:hint="eastAsia"/>
              </w:rPr>
              <w:t>（</w:t>
            </w:r>
            <w:r>
              <w:rPr>
                <w:rFonts w:hint="eastAsia"/>
                <w:sz w:val="21"/>
                <w:szCs w:val="21"/>
              </w:rPr>
              <w:t>进口产品</w:t>
            </w:r>
            <w:r>
              <w:rPr>
                <w:rFonts w:hint="eastAsia"/>
              </w:rPr>
              <w:t>）</w:t>
            </w:r>
          </w:p>
        </w:tc>
        <w:tc>
          <w:tcPr>
            <w:tcW w:w="60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olor w:val="000000"/>
                <w:sz w:val="21"/>
                <w:szCs w:val="21"/>
              </w:rPr>
            </w:pPr>
            <w:r>
              <w:rPr>
                <w:rFonts w:hint="eastAsia" w:ascii="宋体" w:hAnsi="宋体"/>
                <w:color w:val="000000"/>
                <w:kern w:val="0"/>
                <w:sz w:val="21"/>
                <w:szCs w:val="21"/>
              </w:rPr>
              <w:t>1台</w:t>
            </w:r>
          </w:p>
        </w:tc>
        <w:tc>
          <w:tcPr>
            <w:tcW w:w="7430"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pPr>
              <w:widowControl/>
              <w:jc w:val="left"/>
              <w:textAlignment w:val="center"/>
              <w:rPr>
                <w:rFonts w:ascii="宋体" w:hAnsi="宋体"/>
                <w:color w:val="000000"/>
                <w:sz w:val="21"/>
                <w:szCs w:val="21"/>
              </w:rPr>
            </w:pPr>
            <w:r>
              <w:rPr>
                <w:rFonts w:hint="eastAsia" w:ascii="宋体" w:hAnsi="宋体"/>
                <w:color w:val="000000"/>
                <w:kern w:val="0"/>
                <w:sz w:val="21"/>
                <w:szCs w:val="21"/>
              </w:rPr>
              <w:t>*1.样本通量（孔）：可选择多达3种模块，96孔0.1ml模块、96孔0.2ml模块和384孔0.1ml模块</w:t>
            </w:r>
            <w:r>
              <w:rPr>
                <w:rFonts w:hint="eastAsia" w:ascii="宋体" w:hAnsi="宋体"/>
                <w:color w:val="000000"/>
                <w:kern w:val="0"/>
                <w:sz w:val="21"/>
                <w:szCs w:val="21"/>
              </w:rPr>
              <w:br w:type="textWrapping"/>
            </w:r>
            <w:r>
              <w:rPr>
                <w:rFonts w:hint="eastAsia" w:ascii="宋体" w:hAnsi="宋体"/>
                <w:color w:val="000000"/>
                <w:kern w:val="0"/>
                <w:sz w:val="21"/>
                <w:szCs w:val="21"/>
              </w:rPr>
              <w:t>2.反应体系：96孔0.1ml模块：10-30uL ；96孔0.2 ml模块：10-100uL；384孔模块：5–20 μL</w:t>
            </w:r>
            <w:r>
              <w:rPr>
                <w:rFonts w:hint="eastAsia" w:ascii="宋体" w:hAnsi="宋体"/>
                <w:color w:val="000000"/>
                <w:kern w:val="0"/>
                <w:sz w:val="21"/>
                <w:szCs w:val="21"/>
              </w:rPr>
              <w:br w:type="textWrapping"/>
            </w:r>
            <w:r>
              <w:rPr>
                <w:rFonts w:hint="eastAsia" w:ascii="宋体" w:hAnsi="宋体"/>
                <w:color w:val="000000"/>
                <w:kern w:val="0"/>
                <w:sz w:val="21"/>
                <w:szCs w:val="21"/>
              </w:rPr>
              <w:t>*3.温控模块最高升降温速率：9℃/秒</w:t>
            </w:r>
            <w:r>
              <w:rPr>
                <w:rFonts w:hint="eastAsia" w:ascii="宋体" w:hAnsi="宋体"/>
                <w:color w:val="000000"/>
                <w:kern w:val="0"/>
                <w:sz w:val="21"/>
                <w:szCs w:val="21"/>
              </w:rPr>
              <w:br w:type="textWrapping"/>
            </w:r>
            <w:r>
              <w:rPr>
                <w:rFonts w:hint="eastAsia" w:ascii="宋体" w:hAnsi="宋体"/>
                <w:color w:val="000000"/>
                <w:kern w:val="0"/>
                <w:sz w:val="21"/>
                <w:szCs w:val="21"/>
              </w:rPr>
              <w:t>*4.精确数码温控模块：96孔0.1ml和0.2ml模块均支持6个独立的精确数码温控区域，一次实验可运行6个不同温度；</w:t>
            </w:r>
            <w:r>
              <w:rPr>
                <w:rFonts w:hint="eastAsia" w:ascii="宋体" w:hAnsi="宋体"/>
                <w:color w:val="000000"/>
                <w:kern w:val="0"/>
                <w:sz w:val="21"/>
                <w:szCs w:val="21"/>
              </w:rPr>
              <w:br w:type="textWrapping"/>
            </w:r>
            <w:r>
              <w:rPr>
                <w:rFonts w:hint="eastAsia" w:ascii="宋体" w:hAnsi="宋体"/>
                <w:color w:val="000000"/>
                <w:kern w:val="0"/>
                <w:sz w:val="21"/>
                <w:szCs w:val="21"/>
              </w:rPr>
              <w:t>5.热循环系统：Peltier半导体</w:t>
            </w:r>
            <w:r>
              <w:rPr>
                <w:rFonts w:hint="eastAsia" w:ascii="宋体" w:hAnsi="宋体"/>
                <w:color w:val="000000"/>
                <w:kern w:val="0"/>
                <w:sz w:val="21"/>
                <w:szCs w:val="21"/>
              </w:rPr>
              <w:br w:type="textWrapping"/>
            </w:r>
            <w:r>
              <w:rPr>
                <w:rFonts w:hint="eastAsia" w:ascii="宋体" w:hAnsi="宋体"/>
                <w:color w:val="000000"/>
                <w:kern w:val="0"/>
                <w:sz w:val="21"/>
                <w:szCs w:val="21"/>
              </w:rPr>
              <w:t>6.反应运行时间：&lt;30分钟运行</w:t>
            </w:r>
            <w:r>
              <w:rPr>
                <w:rFonts w:hint="eastAsia" w:ascii="宋体" w:hAnsi="宋体"/>
                <w:color w:val="000000"/>
                <w:kern w:val="0"/>
                <w:sz w:val="21"/>
                <w:szCs w:val="21"/>
              </w:rPr>
              <w:br w:type="textWrapping"/>
            </w:r>
            <w:r>
              <w:rPr>
                <w:rFonts w:hint="eastAsia" w:ascii="宋体" w:hAnsi="宋体"/>
                <w:color w:val="000000"/>
                <w:kern w:val="0"/>
                <w:sz w:val="21"/>
                <w:szCs w:val="21"/>
              </w:rPr>
              <w:t>7.线性动态范围：10 logs</w:t>
            </w:r>
            <w:r>
              <w:rPr>
                <w:rFonts w:hint="eastAsia" w:ascii="宋体" w:hAnsi="宋体"/>
                <w:color w:val="000000"/>
                <w:kern w:val="0"/>
                <w:sz w:val="21"/>
                <w:szCs w:val="21"/>
              </w:rPr>
              <w:br w:type="textWrapping"/>
            </w:r>
            <w:r>
              <w:rPr>
                <w:rFonts w:hint="eastAsia" w:ascii="宋体" w:hAnsi="宋体"/>
                <w:color w:val="000000"/>
                <w:kern w:val="0"/>
                <w:sz w:val="21"/>
                <w:szCs w:val="21"/>
              </w:rPr>
              <w:t>*8.分辨率：在单重反应中可区分1.5倍拷贝数差异</w:t>
            </w:r>
            <w:r>
              <w:rPr>
                <w:rFonts w:hint="eastAsia" w:ascii="宋体" w:hAnsi="宋体"/>
                <w:color w:val="000000"/>
                <w:kern w:val="0"/>
                <w:sz w:val="21"/>
                <w:szCs w:val="21"/>
              </w:rPr>
              <w:br w:type="textWrapping"/>
            </w:r>
            <w:r>
              <w:rPr>
                <w:rFonts w:hint="eastAsia" w:ascii="宋体" w:hAnsi="宋体"/>
                <w:color w:val="000000"/>
                <w:kern w:val="0"/>
                <w:sz w:val="21"/>
                <w:szCs w:val="21"/>
              </w:rPr>
              <w:t>9.灵敏度：最低 1 拷贝</w:t>
            </w:r>
            <w:r>
              <w:rPr>
                <w:rFonts w:hint="eastAsia" w:ascii="宋体" w:hAnsi="宋体"/>
                <w:color w:val="000000"/>
                <w:kern w:val="0"/>
                <w:sz w:val="21"/>
                <w:szCs w:val="21"/>
              </w:rPr>
              <w:br w:type="textWrapping"/>
            </w:r>
            <w:r>
              <w:rPr>
                <w:rFonts w:hint="eastAsia" w:ascii="宋体" w:hAnsi="宋体"/>
                <w:color w:val="000000"/>
                <w:kern w:val="0"/>
                <w:sz w:val="21"/>
                <w:szCs w:val="21"/>
              </w:rPr>
              <w:t>10.支持的染料：FAM™/SYBR™ Green, VIC™/JOE™/HEX™/TET™, ABY™/NED™/TAMRA™/Cy™3, JUN™, ROX™/Texas Red™，Mustang Purple,CY5/LIZ,CY5.5等</w:t>
            </w:r>
            <w:r>
              <w:rPr>
                <w:rFonts w:hint="eastAsia" w:ascii="宋体" w:hAnsi="宋体"/>
                <w:color w:val="000000"/>
                <w:kern w:val="0"/>
                <w:sz w:val="21"/>
                <w:szCs w:val="21"/>
              </w:rPr>
              <w:br w:type="textWrapping"/>
            </w:r>
            <w:r>
              <w:rPr>
                <w:rFonts w:hint="eastAsia" w:ascii="宋体" w:hAnsi="宋体"/>
                <w:color w:val="000000"/>
                <w:kern w:val="0"/>
                <w:sz w:val="21"/>
                <w:szCs w:val="21"/>
              </w:rPr>
              <w:t>11.仪器自带存储：不小于10GB，（相当于2000-2500运行文件)</w:t>
            </w:r>
            <w:r>
              <w:rPr>
                <w:rFonts w:hint="eastAsia" w:ascii="宋体" w:hAnsi="宋体"/>
                <w:color w:val="000000"/>
                <w:kern w:val="0"/>
                <w:sz w:val="21"/>
                <w:szCs w:val="21"/>
              </w:rPr>
              <w:br w:type="textWrapping"/>
            </w:r>
            <w:r>
              <w:rPr>
                <w:rFonts w:hint="eastAsia" w:ascii="宋体" w:hAnsi="宋体"/>
                <w:color w:val="000000"/>
                <w:kern w:val="0"/>
                <w:sz w:val="21"/>
                <w:szCs w:val="21"/>
              </w:rPr>
              <w:t xml:space="preserve">12.光学系统：单一光源激发荧光基团，高亮度白光半导体光源(工作寿命&gt;5年) </w:t>
            </w:r>
            <w:r>
              <w:rPr>
                <w:rFonts w:hint="eastAsia" w:ascii="宋体" w:hAnsi="宋体"/>
                <w:color w:val="000000"/>
                <w:kern w:val="0"/>
                <w:sz w:val="21"/>
                <w:szCs w:val="21"/>
              </w:rPr>
              <w:br w:type="textWrapping"/>
            </w:r>
            <w:r>
              <w:rPr>
                <w:rFonts w:hint="eastAsia" w:ascii="宋体" w:hAnsi="宋体"/>
                <w:color w:val="000000"/>
                <w:kern w:val="0"/>
                <w:sz w:val="21"/>
                <w:szCs w:val="21"/>
              </w:rPr>
              <w:t>13.荧光通道数：96孔模块支持不少于6色激发光通道和6色检测光通道，最多21种荧光组合</w:t>
            </w:r>
            <w:r>
              <w:rPr>
                <w:rFonts w:hint="eastAsia" w:ascii="宋体" w:hAnsi="宋体"/>
                <w:color w:val="000000"/>
                <w:kern w:val="0"/>
                <w:sz w:val="21"/>
                <w:szCs w:val="21"/>
              </w:rPr>
              <w:br w:type="textWrapping"/>
            </w:r>
            <w:r>
              <w:rPr>
                <w:rFonts w:hint="eastAsia" w:ascii="宋体" w:hAnsi="宋体"/>
                <w:color w:val="000000"/>
                <w:kern w:val="0"/>
                <w:sz w:val="21"/>
                <w:szCs w:val="21"/>
              </w:rPr>
              <w:t>14.光学激发检测范围：96孔0.1ml和0.2ml模块：450–680 nm/500–730nm；</w:t>
            </w:r>
            <w:r>
              <w:rPr>
                <w:rFonts w:hint="eastAsia" w:ascii="宋体" w:hAnsi="宋体"/>
                <w:color w:val="000000"/>
                <w:kern w:val="0"/>
                <w:sz w:val="21"/>
                <w:szCs w:val="21"/>
              </w:rPr>
              <w:br w:type="textWrapping"/>
            </w:r>
            <w:r>
              <w:rPr>
                <w:rFonts w:hint="eastAsia" w:ascii="宋体" w:hAnsi="宋体"/>
                <w:color w:val="000000"/>
                <w:kern w:val="0"/>
                <w:sz w:val="21"/>
                <w:szCs w:val="21"/>
              </w:rPr>
              <w:t>15. 数据采集：单一检测器检测整板荧光信号，所有反应孔同时采集荧光数据，不同孔之间不存在时间差</w:t>
            </w:r>
            <w:r>
              <w:rPr>
                <w:rFonts w:hint="eastAsia" w:ascii="宋体" w:hAnsi="宋体"/>
                <w:color w:val="000000"/>
                <w:kern w:val="0"/>
                <w:sz w:val="21"/>
                <w:szCs w:val="21"/>
              </w:rPr>
              <w:br w:type="textWrapping"/>
            </w:r>
            <w:r>
              <w:rPr>
                <w:rFonts w:hint="eastAsia" w:ascii="宋体" w:hAnsi="宋体"/>
                <w:color w:val="000000"/>
                <w:kern w:val="0"/>
                <w:sz w:val="21"/>
                <w:szCs w:val="21"/>
              </w:rPr>
              <w:t>16.互动触摸屏：仪器自带触摸屏，并可查看实时荧光定量PCR实验</w:t>
            </w:r>
            <w:r>
              <w:rPr>
                <w:rFonts w:hint="eastAsia" w:ascii="宋体" w:hAnsi="宋体"/>
                <w:color w:val="000000"/>
                <w:kern w:val="0"/>
                <w:sz w:val="21"/>
                <w:szCs w:val="21"/>
              </w:rPr>
              <w:br w:type="textWrapping"/>
            </w:r>
            <w:r>
              <w:rPr>
                <w:rFonts w:hint="eastAsia" w:ascii="宋体" w:hAnsi="宋体"/>
                <w:color w:val="000000"/>
                <w:kern w:val="0"/>
                <w:sz w:val="21"/>
                <w:szCs w:val="21"/>
              </w:rPr>
              <w:t>*17.云服务平台：基于网络浏览器的云服务平台，可随时随地连接、分析、共享数据</w:t>
            </w:r>
            <w:r>
              <w:rPr>
                <w:rFonts w:hint="eastAsia" w:ascii="宋体" w:hAnsi="宋体"/>
                <w:color w:val="000000"/>
                <w:kern w:val="0"/>
                <w:sz w:val="21"/>
                <w:szCs w:val="21"/>
              </w:rPr>
              <w:br w:type="textWrapping"/>
            </w:r>
            <w:r>
              <w:rPr>
                <w:rFonts w:hint="eastAsia" w:ascii="宋体" w:hAnsi="宋体"/>
                <w:color w:val="000000"/>
                <w:kern w:val="0"/>
                <w:sz w:val="21"/>
                <w:szCs w:val="21"/>
              </w:rPr>
              <w:t>18.数据通信接口：USB，  Wi-Fi，云服务平台</w:t>
            </w:r>
            <w:r>
              <w:rPr>
                <w:rFonts w:hint="eastAsia" w:ascii="宋体" w:hAnsi="宋体"/>
                <w:color w:val="000000"/>
                <w:kern w:val="0"/>
                <w:sz w:val="21"/>
                <w:szCs w:val="21"/>
              </w:rPr>
              <w:br w:type="textWrapping"/>
            </w:r>
            <w:r>
              <w:rPr>
                <w:rFonts w:hint="eastAsia" w:ascii="宋体" w:hAnsi="宋体"/>
                <w:color w:val="000000"/>
                <w:kern w:val="0"/>
                <w:sz w:val="21"/>
                <w:szCs w:val="21"/>
              </w:rPr>
              <w:t>19.外围设备：可选配二维码阅读器（通过USB连接）</w:t>
            </w:r>
            <w:r>
              <w:rPr>
                <w:rFonts w:hint="eastAsia" w:ascii="宋体" w:hAnsi="宋体"/>
                <w:color w:val="000000"/>
                <w:kern w:val="0"/>
                <w:sz w:val="21"/>
                <w:szCs w:val="21"/>
              </w:rPr>
              <w:br w:type="textWrapping"/>
            </w:r>
            <w:r>
              <w:rPr>
                <w:rFonts w:hint="eastAsia" w:ascii="宋体" w:hAnsi="宋体"/>
                <w:color w:val="000000"/>
                <w:kern w:val="0"/>
                <w:sz w:val="21"/>
                <w:szCs w:val="21"/>
              </w:rPr>
              <w:t>20.系统配置方式：单机运行，连接电脑，或连接云服务平台</w:t>
            </w:r>
            <w:r>
              <w:rPr>
                <w:rFonts w:hint="eastAsia" w:ascii="宋体" w:hAnsi="宋体"/>
                <w:color w:val="000000"/>
                <w:kern w:val="0"/>
                <w:sz w:val="21"/>
                <w:szCs w:val="21"/>
              </w:rPr>
              <w:br w:type="textWrapping"/>
            </w:r>
            <w:r>
              <w:rPr>
                <w:rFonts w:hint="eastAsia" w:ascii="宋体" w:hAnsi="宋体"/>
                <w:color w:val="000000"/>
                <w:kern w:val="0"/>
                <w:sz w:val="21"/>
                <w:szCs w:val="21"/>
              </w:rPr>
              <w:t>21.分析软件登录途径： Windows™ 10系统的台式机；网络浏览器（在普通PC或Mac™电脑上）</w:t>
            </w:r>
            <w:r>
              <w:rPr>
                <w:rFonts w:hint="eastAsia" w:ascii="宋体" w:hAnsi="宋体"/>
                <w:color w:val="000000"/>
                <w:kern w:val="0"/>
                <w:sz w:val="21"/>
                <w:szCs w:val="21"/>
              </w:rPr>
              <w:br w:type="textWrapping"/>
            </w:r>
            <w:r>
              <w:rPr>
                <w:rFonts w:hint="eastAsia" w:ascii="宋体" w:hAnsi="宋体"/>
                <w:color w:val="000000"/>
                <w:kern w:val="0"/>
                <w:sz w:val="21"/>
                <w:szCs w:val="21"/>
              </w:rPr>
              <w:t>22.程序运行：预先优化的程序或客户自己设计程序；运行程序支持手动暂停；固定的工作流程</w:t>
            </w:r>
            <w:r>
              <w:rPr>
                <w:rFonts w:hint="eastAsia" w:ascii="宋体" w:hAnsi="宋体"/>
                <w:color w:val="000000"/>
                <w:kern w:val="0"/>
                <w:sz w:val="21"/>
                <w:szCs w:val="21"/>
              </w:rPr>
              <w:br w:type="textWrapping"/>
            </w:r>
            <w:r>
              <w:rPr>
                <w:rFonts w:hint="eastAsia" w:ascii="宋体" w:hAnsi="宋体"/>
                <w:color w:val="000000"/>
                <w:kern w:val="0"/>
                <w:sz w:val="21"/>
                <w:szCs w:val="21"/>
              </w:rPr>
              <w:t>23.被动参照染料：软件支持ROX荧光校正去除移液误差</w:t>
            </w:r>
            <w:r>
              <w:rPr>
                <w:rFonts w:hint="eastAsia" w:ascii="宋体" w:hAnsi="宋体"/>
                <w:color w:val="000000"/>
                <w:kern w:val="0"/>
                <w:sz w:val="21"/>
                <w:szCs w:val="21"/>
              </w:rPr>
              <w:br w:type="textWrapping"/>
            </w:r>
            <w:r>
              <w:rPr>
                <w:rFonts w:hint="eastAsia" w:ascii="宋体" w:hAnsi="宋体"/>
                <w:color w:val="000000"/>
                <w:kern w:val="0"/>
                <w:sz w:val="21"/>
                <w:szCs w:val="21"/>
              </w:rPr>
              <w:t>24.MIQE 指南：实时荧光定量PCR标记语言(RDML)导出格式</w:t>
            </w:r>
            <w:r>
              <w:rPr>
                <w:rFonts w:hint="eastAsia" w:ascii="宋体" w:hAnsi="宋体"/>
                <w:color w:val="000000"/>
                <w:kern w:val="0"/>
                <w:sz w:val="21"/>
                <w:szCs w:val="21"/>
              </w:rPr>
              <w:br w:type="textWrapping"/>
            </w:r>
            <w:r>
              <w:rPr>
                <w:rFonts w:hint="eastAsia" w:ascii="宋体" w:hAnsi="宋体"/>
                <w:color w:val="000000"/>
                <w:kern w:val="0"/>
                <w:sz w:val="21"/>
                <w:szCs w:val="21"/>
              </w:rPr>
              <w:t>25.符合21 CFR Part 11要求的标准：无需额外费用（支持电子签名）</w:t>
            </w:r>
            <w:r>
              <w:rPr>
                <w:rFonts w:hint="eastAsia" w:ascii="宋体" w:hAnsi="宋体"/>
                <w:color w:val="000000"/>
                <w:kern w:val="0"/>
                <w:sz w:val="21"/>
                <w:szCs w:val="21"/>
              </w:rPr>
              <w:br w:type="textWrapping"/>
            </w:r>
            <w:r>
              <w:rPr>
                <w:rFonts w:hint="eastAsia" w:ascii="宋体" w:hAnsi="宋体"/>
                <w:color w:val="000000"/>
                <w:kern w:val="0"/>
                <w:sz w:val="21"/>
                <w:szCs w:val="21"/>
              </w:rPr>
              <w:t>26.设备支持开放的试剂盒和耗材</w:t>
            </w:r>
            <w:r>
              <w:rPr>
                <w:rFonts w:hint="eastAsia" w:ascii="宋体" w:hAnsi="宋体"/>
                <w:color w:val="000000"/>
                <w:kern w:val="0"/>
                <w:sz w:val="21"/>
                <w:szCs w:val="21"/>
              </w:rPr>
              <w:br w:type="textWrapping"/>
            </w:r>
            <w:r>
              <w:rPr>
                <w:rFonts w:hint="eastAsia" w:ascii="宋体" w:hAnsi="宋体"/>
                <w:color w:val="000000"/>
                <w:kern w:val="0"/>
                <w:sz w:val="21"/>
                <w:szCs w:val="21"/>
              </w:rPr>
              <w:t xml:space="preserve">27.基本配置和附件：荧光定量PCR主机1台：96孔0.2ml模块；标配原装进口电脑1台；软件1套；安装验证试剂盒      </w:t>
            </w:r>
          </w:p>
        </w:tc>
      </w:tr>
      <w:tr>
        <w:tblPrEx>
          <w:tblCellMar>
            <w:top w:w="0" w:type="dxa"/>
            <w:left w:w="0" w:type="dxa"/>
            <w:bottom w:w="0" w:type="dxa"/>
            <w:right w:w="0" w:type="dxa"/>
          </w:tblCellMar>
        </w:tblPrEx>
        <w:trPr>
          <w:trHeight w:val="3300" w:hRule="atLeast"/>
        </w:trPr>
        <w:tc>
          <w:tcPr>
            <w:tcW w:w="711" w:type="dxa"/>
            <w:vMerge w:val="continue"/>
            <w:tcBorders>
              <w:top w:val="single" w:color="auto" w:sz="4" w:space="0"/>
              <w:left w:val="single" w:color="000000" w:sz="4" w:space="0"/>
              <w:bottom w:val="single" w:color="auto" w:sz="4" w:space="0"/>
              <w:right w:val="single" w:color="000000" w:sz="4" w:space="0"/>
            </w:tcBorders>
            <w:tcMar>
              <w:top w:w="15" w:type="dxa"/>
              <w:left w:w="15" w:type="dxa"/>
              <w:right w:w="15" w:type="dxa"/>
            </w:tcMar>
            <w:vAlign w:val="center"/>
          </w:tcPr>
          <w:p>
            <w:pPr>
              <w:jc w:val="center"/>
              <w:rPr>
                <w:rFonts w:ascii="宋体" w:hAnsi="宋体"/>
                <w:b/>
                <w:color w:val="000000"/>
                <w:sz w:val="21"/>
                <w:szCs w:val="21"/>
              </w:rPr>
            </w:pPr>
          </w:p>
        </w:tc>
        <w:tc>
          <w:tcPr>
            <w:tcW w:w="435"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olor w:val="000000"/>
                <w:sz w:val="21"/>
                <w:szCs w:val="21"/>
              </w:rPr>
            </w:pPr>
            <w:r>
              <w:rPr>
                <w:rFonts w:hint="eastAsia" w:ascii="宋体" w:hAnsi="宋体"/>
                <w:color w:val="000000"/>
                <w:kern w:val="0"/>
                <w:sz w:val="21"/>
                <w:szCs w:val="21"/>
              </w:rPr>
              <w:t>17</w:t>
            </w:r>
          </w:p>
        </w:tc>
        <w:tc>
          <w:tcPr>
            <w:tcW w:w="735"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olor w:val="000000"/>
                <w:sz w:val="21"/>
                <w:szCs w:val="21"/>
              </w:rPr>
            </w:pPr>
            <w:r>
              <w:rPr>
                <w:rFonts w:hint="eastAsia" w:ascii="宋体" w:hAnsi="宋体"/>
                <w:color w:val="000000"/>
                <w:kern w:val="0"/>
                <w:sz w:val="21"/>
                <w:szCs w:val="21"/>
              </w:rPr>
              <w:t>超低温冰箱-86℃</w:t>
            </w:r>
          </w:p>
        </w:tc>
        <w:tc>
          <w:tcPr>
            <w:tcW w:w="605"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olor w:val="000000"/>
                <w:sz w:val="21"/>
                <w:szCs w:val="21"/>
              </w:rPr>
            </w:pPr>
            <w:r>
              <w:rPr>
                <w:rFonts w:hint="eastAsia" w:ascii="宋体" w:hAnsi="宋体"/>
                <w:color w:val="000000"/>
                <w:kern w:val="0"/>
                <w:sz w:val="21"/>
                <w:szCs w:val="21"/>
              </w:rPr>
              <w:t>1台</w:t>
            </w:r>
          </w:p>
        </w:tc>
        <w:tc>
          <w:tcPr>
            <w:tcW w:w="7430" w:type="dxa"/>
            <w:vMerge w:val="restart"/>
            <w:tcBorders>
              <w:top w:val="single" w:color="auto" w:sz="4" w:space="0"/>
              <w:left w:val="single" w:color="000000" w:sz="4" w:space="0"/>
              <w:bottom w:val="single" w:color="auto" w:sz="4" w:space="0"/>
              <w:right w:val="single" w:color="000000" w:sz="4" w:space="0"/>
            </w:tcBorders>
            <w:tcMar>
              <w:top w:w="15" w:type="dxa"/>
              <w:left w:w="15" w:type="dxa"/>
              <w:right w:w="15" w:type="dxa"/>
            </w:tcMar>
            <w:vAlign w:val="center"/>
          </w:tcPr>
          <w:p>
            <w:pPr>
              <w:widowControl/>
              <w:jc w:val="left"/>
              <w:textAlignment w:val="center"/>
              <w:rPr>
                <w:rFonts w:ascii="宋体" w:hAnsi="宋体"/>
                <w:color w:val="000000"/>
                <w:kern w:val="0"/>
                <w:sz w:val="21"/>
                <w:szCs w:val="21"/>
              </w:rPr>
            </w:pPr>
            <w:r>
              <w:rPr>
                <w:rFonts w:hint="eastAsia" w:ascii="宋体" w:hAnsi="宋体"/>
                <w:color w:val="000000"/>
                <w:kern w:val="0"/>
                <w:sz w:val="21"/>
                <w:szCs w:val="21"/>
              </w:rPr>
              <w:t>1、体积≥338L，设定温度范围-10°C～-86°C，适用范围在-40°C～-86°C 范围调节</w:t>
            </w:r>
          </w:p>
          <w:p>
            <w:pPr>
              <w:widowControl/>
              <w:jc w:val="left"/>
              <w:textAlignment w:val="center"/>
              <w:rPr>
                <w:rFonts w:ascii="宋体" w:hAnsi="宋体"/>
                <w:color w:val="000000"/>
                <w:kern w:val="0"/>
                <w:sz w:val="21"/>
                <w:szCs w:val="21"/>
              </w:rPr>
            </w:pPr>
            <w:r>
              <w:rPr>
                <w:rFonts w:hint="eastAsia" w:ascii="宋体" w:hAnsi="宋体"/>
                <w:color w:val="000000"/>
                <w:kern w:val="0"/>
                <w:sz w:val="21"/>
                <w:szCs w:val="21"/>
              </w:rPr>
              <w:t>2、多种故障报警（高低温报警、传感器报警、冷凝器散热差报警、环温超标</w:t>
            </w:r>
          </w:p>
          <w:p>
            <w:pPr>
              <w:widowControl/>
              <w:jc w:val="left"/>
              <w:textAlignment w:val="center"/>
              <w:rPr>
                <w:rFonts w:ascii="宋体" w:hAnsi="宋体"/>
                <w:color w:val="000000"/>
                <w:kern w:val="0"/>
                <w:sz w:val="21"/>
                <w:szCs w:val="21"/>
              </w:rPr>
            </w:pPr>
            <w:r>
              <w:rPr>
                <w:rFonts w:hint="eastAsia" w:ascii="宋体" w:hAnsi="宋体"/>
                <w:color w:val="000000"/>
                <w:kern w:val="0"/>
                <w:sz w:val="21"/>
                <w:szCs w:val="21"/>
              </w:rPr>
              <w:t>报警、断电报警、门开报警、电池电量低报警）。</w:t>
            </w:r>
          </w:p>
          <w:p>
            <w:pPr>
              <w:widowControl/>
              <w:jc w:val="left"/>
              <w:textAlignment w:val="center"/>
              <w:rPr>
                <w:rFonts w:ascii="宋体" w:hAnsi="宋体"/>
                <w:color w:val="000000"/>
                <w:kern w:val="0"/>
                <w:sz w:val="21"/>
                <w:szCs w:val="21"/>
              </w:rPr>
            </w:pPr>
            <w:r>
              <w:rPr>
                <w:rFonts w:hint="eastAsia" w:ascii="宋体" w:hAnsi="宋体"/>
                <w:color w:val="000000"/>
                <w:kern w:val="0"/>
                <w:sz w:val="21"/>
                <w:szCs w:val="21"/>
              </w:rPr>
              <w:t>3、采用HC制冷系统，对臭氧层“0”损害，温室效应几乎为“0”。 25℃环</w:t>
            </w:r>
          </w:p>
          <w:p>
            <w:pPr>
              <w:widowControl/>
              <w:jc w:val="left"/>
              <w:textAlignment w:val="center"/>
              <w:rPr>
                <w:rFonts w:ascii="宋体" w:hAnsi="宋体"/>
                <w:color w:val="000000"/>
                <w:kern w:val="0"/>
                <w:sz w:val="21"/>
                <w:szCs w:val="21"/>
              </w:rPr>
            </w:pPr>
            <w:r>
              <w:rPr>
                <w:rFonts w:hint="eastAsia" w:ascii="宋体" w:hAnsi="宋体"/>
                <w:color w:val="000000"/>
                <w:kern w:val="0"/>
                <w:sz w:val="21"/>
                <w:szCs w:val="21"/>
              </w:rPr>
              <w:t>温时，单日耗电量≤8Kw.h/24h。具有相关节能报告，获得国家CQC节能环保认证。</w:t>
            </w:r>
          </w:p>
          <w:p>
            <w:pPr>
              <w:widowControl/>
              <w:jc w:val="left"/>
              <w:textAlignment w:val="center"/>
              <w:rPr>
                <w:rFonts w:ascii="宋体" w:hAnsi="宋体"/>
                <w:color w:val="000000"/>
                <w:kern w:val="0"/>
                <w:sz w:val="21"/>
                <w:szCs w:val="21"/>
              </w:rPr>
            </w:pPr>
            <w:r>
              <w:rPr>
                <w:rFonts w:hint="eastAsia" w:ascii="宋体" w:hAnsi="宋体"/>
                <w:color w:val="000000"/>
                <w:kern w:val="0"/>
                <w:sz w:val="21"/>
                <w:szCs w:val="21"/>
              </w:rPr>
              <w:t>4、冷凝风机：冷凝风机两个，可根据环静温度实现智能开停，有效节能，降</w:t>
            </w:r>
          </w:p>
          <w:p>
            <w:pPr>
              <w:widowControl/>
              <w:jc w:val="left"/>
              <w:textAlignment w:val="center"/>
              <w:rPr>
                <w:rFonts w:ascii="宋体" w:hAnsi="宋体"/>
                <w:color w:val="000000"/>
                <w:kern w:val="0"/>
                <w:sz w:val="21"/>
                <w:szCs w:val="21"/>
              </w:rPr>
            </w:pPr>
            <w:r>
              <w:rPr>
                <w:rFonts w:hint="eastAsia" w:ascii="宋体" w:hAnsi="宋体"/>
                <w:color w:val="000000"/>
                <w:kern w:val="0"/>
                <w:sz w:val="21"/>
                <w:szCs w:val="21"/>
              </w:rPr>
              <w:t>低噪音。环温高于20 度时开启2 个风机，环温高于12 度低于20 度时开启一</w:t>
            </w:r>
          </w:p>
          <w:p>
            <w:pPr>
              <w:widowControl/>
              <w:jc w:val="left"/>
              <w:textAlignment w:val="center"/>
              <w:rPr>
                <w:rFonts w:ascii="宋体" w:hAnsi="宋体"/>
                <w:color w:val="000000"/>
                <w:kern w:val="0"/>
                <w:sz w:val="21"/>
                <w:szCs w:val="21"/>
              </w:rPr>
            </w:pPr>
            <w:r>
              <w:rPr>
                <w:rFonts w:hint="eastAsia" w:ascii="宋体" w:hAnsi="宋体"/>
                <w:color w:val="000000"/>
                <w:kern w:val="0"/>
                <w:sz w:val="21"/>
                <w:szCs w:val="21"/>
              </w:rPr>
              <w:t>个风机，环温低于12 度时关闭所有风机</w:t>
            </w:r>
          </w:p>
          <w:p>
            <w:pPr>
              <w:widowControl/>
              <w:jc w:val="left"/>
              <w:textAlignment w:val="center"/>
              <w:rPr>
                <w:rFonts w:ascii="宋体" w:hAnsi="宋体"/>
                <w:color w:val="000000"/>
                <w:kern w:val="0"/>
                <w:sz w:val="21"/>
                <w:szCs w:val="21"/>
              </w:rPr>
            </w:pPr>
            <w:r>
              <w:rPr>
                <w:rFonts w:hint="eastAsia" w:ascii="宋体" w:hAnsi="宋体"/>
                <w:color w:val="000000"/>
                <w:kern w:val="0"/>
                <w:sz w:val="21"/>
                <w:szCs w:val="21"/>
              </w:rPr>
              <w:t>5、一体式手把门锁设计，单手实现开关门。可同时使用暗锁及双挂锁。</w:t>
            </w:r>
          </w:p>
          <w:p>
            <w:pPr>
              <w:widowControl/>
              <w:jc w:val="left"/>
              <w:textAlignment w:val="center"/>
              <w:rPr>
                <w:rFonts w:ascii="宋体" w:hAnsi="宋体"/>
                <w:color w:val="000000"/>
                <w:kern w:val="0"/>
                <w:sz w:val="21"/>
                <w:szCs w:val="21"/>
              </w:rPr>
            </w:pPr>
            <w:r>
              <w:rPr>
                <w:rFonts w:hint="eastAsia" w:ascii="宋体" w:hAnsi="宋体"/>
                <w:color w:val="000000"/>
                <w:kern w:val="0"/>
                <w:sz w:val="21"/>
                <w:szCs w:val="21"/>
              </w:rPr>
              <w:t>6、2个发泡内门并带密封条设计，外门4层密封。整机共计5层密封，保温效</w:t>
            </w:r>
          </w:p>
          <w:p>
            <w:pPr>
              <w:widowControl/>
              <w:jc w:val="left"/>
              <w:textAlignment w:val="center"/>
              <w:rPr>
                <w:rFonts w:ascii="宋体" w:hAnsi="宋体"/>
                <w:color w:val="000000"/>
                <w:kern w:val="0"/>
                <w:sz w:val="21"/>
                <w:szCs w:val="21"/>
              </w:rPr>
            </w:pPr>
            <w:r>
              <w:rPr>
                <w:rFonts w:hint="eastAsia" w:ascii="宋体" w:hAnsi="宋体"/>
                <w:color w:val="000000"/>
                <w:kern w:val="0"/>
                <w:sz w:val="21"/>
                <w:szCs w:val="21"/>
              </w:rPr>
              <w:t>果好。</w:t>
            </w:r>
          </w:p>
          <w:p>
            <w:pPr>
              <w:widowControl/>
              <w:jc w:val="left"/>
              <w:textAlignment w:val="center"/>
              <w:rPr>
                <w:rFonts w:ascii="宋体" w:hAnsi="宋体"/>
                <w:color w:val="000000"/>
                <w:kern w:val="0"/>
                <w:sz w:val="21"/>
                <w:szCs w:val="21"/>
              </w:rPr>
            </w:pPr>
            <w:r>
              <w:rPr>
                <w:rFonts w:hint="eastAsia" w:ascii="宋体" w:hAnsi="宋体"/>
                <w:color w:val="000000"/>
                <w:kern w:val="0"/>
                <w:sz w:val="21"/>
                <w:szCs w:val="21"/>
              </w:rPr>
              <w:t>7、2 个压缩机， 功率≤1000W</w:t>
            </w:r>
          </w:p>
          <w:p>
            <w:pPr>
              <w:widowControl/>
              <w:jc w:val="left"/>
              <w:textAlignment w:val="center"/>
              <w:rPr>
                <w:rFonts w:ascii="宋体" w:hAnsi="宋体"/>
                <w:color w:val="000000"/>
                <w:kern w:val="0"/>
                <w:sz w:val="21"/>
                <w:szCs w:val="21"/>
              </w:rPr>
            </w:pPr>
            <w:r>
              <w:rPr>
                <w:rFonts w:hint="eastAsia" w:ascii="宋体" w:hAnsi="宋体"/>
                <w:color w:val="000000"/>
                <w:kern w:val="0"/>
                <w:sz w:val="21"/>
                <w:szCs w:val="21"/>
              </w:rPr>
              <w:t>8、LED 显示屏，可显示环温及输入电压。</w:t>
            </w:r>
          </w:p>
          <w:p>
            <w:pPr>
              <w:widowControl/>
              <w:jc w:val="left"/>
              <w:textAlignment w:val="center"/>
              <w:rPr>
                <w:rFonts w:ascii="宋体" w:hAnsi="宋体"/>
                <w:color w:val="000000"/>
                <w:kern w:val="0"/>
                <w:sz w:val="21"/>
                <w:szCs w:val="21"/>
              </w:rPr>
            </w:pPr>
            <w:r>
              <w:rPr>
                <w:rFonts w:hint="eastAsia" w:ascii="宋体" w:hAnsi="宋体"/>
                <w:color w:val="000000"/>
                <w:kern w:val="0"/>
                <w:sz w:val="21"/>
                <w:szCs w:val="21"/>
              </w:rPr>
              <w:t>9、使用航空真空隔热材料VIP，厚度≥25mm。</w:t>
            </w:r>
          </w:p>
          <w:p>
            <w:pPr>
              <w:widowControl/>
              <w:jc w:val="left"/>
              <w:textAlignment w:val="center"/>
              <w:rPr>
                <w:rFonts w:ascii="宋体" w:hAnsi="宋体"/>
                <w:color w:val="000000"/>
                <w:kern w:val="0"/>
                <w:sz w:val="21"/>
                <w:szCs w:val="21"/>
              </w:rPr>
            </w:pPr>
            <w:r>
              <w:rPr>
                <w:rFonts w:hint="eastAsia" w:ascii="宋体" w:hAnsi="宋体"/>
                <w:color w:val="000000"/>
                <w:kern w:val="0"/>
                <w:sz w:val="21"/>
                <w:szCs w:val="21"/>
              </w:rPr>
              <w:t>10、内胆为电锌板喷粉，防腐蚀，导热快。</w:t>
            </w:r>
          </w:p>
          <w:p>
            <w:pPr>
              <w:widowControl/>
              <w:jc w:val="left"/>
              <w:textAlignment w:val="center"/>
              <w:rPr>
                <w:rFonts w:ascii="宋体" w:hAnsi="宋体"/>
                <w:color w:val="000000"/>
                <w:kern w:val="0"/>
                <w:sz w:val="21"/>
                <w:szCs w:val="21"/>
              </w:rPr>
            </w:pPr>
            <w:r>
              <w:rPr>
                <w:rFonts w:hint="eastAsia" w:ascii="宋体" w:hAnsi="宋体"/>
                <w:color w:val="000000"/>
                <w:kern w:val="0"/>
                <w:sz w:val="21"/>
                <w:szCs w:val="21"/>
              </w:rPr>
              <w:t>11、标配USB 模块，用于记录箱内设定温度；实际温度；高、低温报警温度；</w:t>
            </w:r>
          </w:p>
          <w:p>
            <w:pPr>
              <w:widowControl/>
              <w:jc w:val="left"/>
              <w:textAlignment w:val="center"/>
              <w:rPr>
                <w:rFonts w:ascii="宋体" w:hAnsi="宋体"/>
                <w:color w:val="000000"/>
                <w:kern w:val="0"/>
                <w:sz w:val="21"/>
                <w:szCs w:val="21"/>
              </w:rPr>
            </w:pPr>
            <w:r>
              <w:rPr>
                <w:rFonts w:hint="eastAsia" w:ascii="宋体" w:hAnsi="宋体"/>
                <w:color w:val="000000"/>
                <w:kern w:val="0"/>
                <w:sz w:val="21"/>
                <w:szCs w:val="21"/>
              </w:rPr>
              <w:t>输入电压；环温等数据，且可保存10 年以上，确保数据可追溯性。</w:t>
            </w:r>
          </w:p>
          <w:p>
            <w:pPr>
              <w:widowControl/>
              <w:jc w:val="left"/>
              <w:textAlignment w:val="center"/>
              <w:rPr>
                <w:rFonts w:ascii="宋体" w:hAnsi="宋体"/>
                <w:color w:val="000000"/>
                <w:kern w:val="0"/>
                <w:sz w:val="21"/>
                <w:szCs w:val="21"/>
              </w:rPr>
            </w:pPr>
            <w:r>
              <w:rPr>
                <w:rFonts w:hint="eastAsia" w:ascii="宋体" w:hAnsi="宋体"/>
                <w:color w:val="000000"/>
                <w:kern w:val="0"/>
                <w:sz w:val="21"/>
                <w:szCs w:val="21"/>
              </w:rPr>
              <w:t>12、具有内置5V冷链供电系统，减少外部布线，安全美观。</w:t>
            </w:r>
          </w:p>
          <w:p>
            <w:pPr>
              <w:widowControl/>
              <w:jc w:val="left"/>
              <w:textAlignment w:val="center"/>
              <w:rPr>
                <w:rFonts w:ascii="宋体" w:hAnsi="宋体"/>
                <w:color w:val="000000"/>
                <w:kern w:val="0"/>
                <w:sz w:val="21"/>
                <w:szCs w:val="21"/>
              </w:rPr>
            </w:pPr>
            <w:r>
              <w:rPr>
                <w:rFonts w:hint="eastAsia" w:ascii="宋体" w:hAnsi="宋体"/>
                <w:color w:val="000000"/>
                <w:kern w:val="0"/>
                <w:sz w:val="21"/>
                <w:szCs w:val="21"/>
              </w:rPr>
              <w:t>13、具有可加热平衡孔模块，可满足短时间内连续开门。</w:t>
            </w:r>
          </w:p>
          <w:p>
            <w:pPr>
              <w:widowControl/>
              <w:jc w:val="left"/>
              <w:textAlignment w:val="center"/>
              <w:rPr>
                <w:rFonts w:ascii="宋体" w:hAnsi="宋体"/>
                <w:color w:val="000000"/>
                <w:kern w:val="0"/>
                <w:sz w:val="21"/>
                <w:szCs w:val="21"/>
              </w:rPr>
            </w:pPr>
            <w:r>
              <w:rPr>
                <w:rFonts w:hint="eastAsia" w:ascii="宋体" w:hAnsi="宋体"/>
                <w:color w:val="000000"/>
                <w:kern w:val="0"/>
                <w:sz w:val="21"/>
                <w:szCs w:val="21"/>
              </w:rPr>
              <w:t>14、双测试孔设计，方便用户实验使用和监控箱内温度。</w:t>
            </w:r>
          </w:p>
          <w:p>
            <w:pPr>
              <w:widowControl/>
              <w:jc w:val="left"/>
              <w:textAlignment w:val="center"/>
              <w:rPr>
                <w:rFonts w:ascii="宋体" w:hAnsi="宋体"/>
                <w:color w:val="000000"/>
                <w:kern w:val="0"/>
                <w:sz w:val="21"/>
                <w:szCs w:val="21"/>
              </w:rPr>
            </w:pPr>
            <w:r>
              <w:rPr>
                <w:rFonts w:hint="eastAsia" w:ascii="宋体" w:hAnsi="宋体"/>
                <w:color w:val="000000"/>
                <w:kern w:val="0"/>
                <w:sz w:val="21"/>
                <w:szCs w:val="21"/>
              </w:rPr>
              <w:t>15、外部尺寸（宽*深*高mm）：812*893*1846</w:t>
            </w:r>
          </w:p>
          <w:p>
            <w:pPr>
              <w:widowControl/>
              <w:jc w:val="left"/>
              <w:textAlignment w:val="center"/>
              <w:rPr>
                <w:rFonts w:ascii="宋体" w:hAnsi="宋体"/>
                <w:color w:val="000000"/>
                <w:kern w:val="0"/>
                <w:sz w:val="21"/>
                <w:szCs w:val="21"/>
              </w:rPr>
            </w:pPr>
            <w:r>
              <w:rPr>
                <w:rFonts w:hint="eastAsia" w:ascii="宋体" w:hAnsi="宋体"/>
                <w:color w:val="000000"/>
                <w:kern w:val="0"/>
                <w:sz w:val="21"/>
                <w:szCs w:val="21"/>
              </w:rPr>
              <w:t xml:space="preserve">    内部尺寸（宽*深*高mm）：465*630*1165</w:t>
            </w:r>
          </w:p>
          <w:p>
            <w:pPr>
              <w:widowControl/>
              <w:jc w:val="left"/>
              <w:textAlignment w:val="center"/>
              <w:rPr>
                <w:rFonts w:ascii="宋体" w:hAnsi="宋体"/>
                <w:color w:val="000000"/>
                <w:kern w:val="0"/>
                <w:sz w:val="21"/>
                <w:szCs w:val="21"/>
              </w:rPr>
            </w:pPr>
            <w:r>
              <w:rPr>
                <w:rFonts w:hint="eastAsia" w:ascii="宋体" w:hAnsi="宋体"/>
                <w:color w:val="000000"/>
                <w:kern w:val="0"/>
                <w:sz w:val="21"/>
                <w:szCs w:val="21"/>
              </w:rPr>
              <w:t>16、质量保证期：整机保修3年。</w:t>
            </w:r>
          </w:p>
          <w:p>
            <w:pPr>
              <w:widowControl/>
              <w:jc w:val="left"/>
              <w:textAlignment w:val="center"/>
              <w:rPr>
                <w:rFonts w:ascii="宋体" w:hAnsi="宋体"/>
                <w:color w:val="000000"/>
                <w:kern w:val="0"/>
                <w:sz w:val="21"/>
                <w:szCs w:val="21"/>
              </w:rPr>
            </w:pPr>
            <w:r>
              <w:rPr>
                <w:rFonts w:hint="eastAsia" w:ascii="宋体" w:hAnsi="宋体"/>
                <w:color w:val="000000"/>
                <w:kern w:val="0"/>
                <w:sz w:val="21"/>
                <w:szCs w:val="21"/>
              </w:rPr>
              <w:t>17、售后：2小时反应，24小时上门。</w:t>
            </w:r>
          </w:p>
          <w:p>
            <w:pPr>
              <w:widowControl/>
              <w:jc w:val="left"/>
              <w:textAlignment w:val="center"/>
              <w:rPr>
                <w:rFonts w:ascii="宋体" w:hAnsi="宋体"/>
                <w:color w:val="000000"/>
                <w:sz w:val="21"/>
                <w:szCs w:val="21"/>
              </w:rPr>
            </w:pPr>
            <w:r>
              <w:rPr>
                <w:rFonts w:hint="eastAsia" w:ascii="宋体" w:hAnsi="宋体"/>
                <w:b/>
                <w:bCs/>
                <w:color w:val="000000"/>
                <w:kern w:val="0"/>
                <w:sz w:val="21"/>
                <w:szCs w:val="21"/>
              </w:rPr>
              <w:t>投标文件商务技术文件中提供各地市县都有售后网点，提供网点名称、地址、联系人、联系方式。</w:t>
            </w:r>
          </w:p>
        </w:tc>
      </w:tr>
      <w:tr>
        <w:tblPrEx>
          <w:tblCellMar>
            <w:top w:w="0" w:type="dxa"/>
            <w:left w:w="0" w:type="dxa"/>
            <w:bottom w:w="0" w:type="dxa"/>
            <w:right w:w="0" w:type="dxa"/>
          </w:tblCellMar>
        </w:tblPrEx>
        <w:trPr>
          <w:trHeight w:val="1350" w:hRule="atLeast"/>
        </w:trPr>
        <w:tc>
          <w:tcPr>
            <w:tcW w:w="711" w:type="dxa"/>
            <w:vMerge w:val="continue"/>
            <w:tcBorders>
              <w:top w:val="single" w:color="auto" w:sz="4" w:space="0"/>
              <w:left w:val="single" w:color="000000" w:sz="4" w:space="0"/>
              <w:bottom w:val="single" w:color="auto" w:sz="4" w:space="0"/>
              <w:right w:val="single" w:color="000000" w:sz="4" w:space="0"/>
            </w:tcBorders>
            <w:tcMar>
              <w:top w:w="15" w:type="dxa"/>
              <w:left w:w="15" w:type="dxa"/>
              <w:right w:w="15" w:type="dxa"/>
            </w:tcMar>
            <w:vAlign w:val="center"/>
          </w:tcPr>
          <w:p>
            <w:pPr>
              <w:jc w:val="center"/>
              <w:rPr>
                <w:rFonts w:ascii="宋体" w:hAnsi="宋体"/>
                <w:b/>
                <w:color w:val="000000"/>
                <w:sz w:val="21"/>
                <w:szCs w:val="21"/>
              </w:rPr>
            </w:pPr>
          </w:p>
        </w:tc>
        <w:tc>
          <w:tcPr>
            <w:tcW w:w="435"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hAnsi="宋体"/>
                <w:color w:val="000000"/>
                <w:sz w:val="21"/>
                <w:szCs w:val="21"/>
              </w:rPr>
            </w:pPr>
          </w:p>
        </w:tc>
        <w:tc>
          <w:tcPr>
            <w:tcW w:w="735"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hAnsi="宋体"/>
                <w:color w:val="000000"/>
                <w:sz w:val="21"/>
                <w:szCs w:val="21"/>
              </w:rPr>
            </w:pPr>
          </w:p>
        </w:tc>
        <w:tc>
          <w:tcPr>
            <w:tcW w:w="605" w:type="dxa"/>
            <w:vMerge w:val="continue"/>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pPr>
              <w:jc w:val="center"/>
              <w:rPr>
                <w:rFonts w:ascii="宋体" w:hAnsi="宋体"/>
                <w:color w:val="000000"/>
                <w:sz w:val="21"/>
                <w:szCs w:val="21"/>
              </w:rPr>
            </w:pPr>
          </w:p>
        </w:tc>
        <w:tc>
          <w:tcPr>
            <w:tcW w:w="7430" w:type="dxa"/>
            <w:vMerge w:val="continue"/>
            <w:tcBorders>
              <w:top w:val="single" w:color="auto" w:sz="4" w:space="0"/>
              <w:left w:val="single" w:color="000000" w:sz="4" w:space="0"/>
              <w:bottom w:val="single" w:color="auto" w:sz="4" w:space="0"/>
              <w:right w:val="single" w:color="000000" w:sz="4" w:space="0"/>
            </w:tcBorders>
            <w:tcMar>
              <w:top w:w="15" w:type="dxa"/>
              <w:left w:w="15" w:type="dxa"/>
              <w:right w:w="15" w:type="dxa"/>
            </w:tcMar>
            <w:vAlign w:val="center"/>
          </w:tcPr>
          <w:p>
            <w:pPr>
              <w:jc w:val="left"/>
              <w:rPr>
                <w:rFonts w:ascii="宋体" w:hAnsi="宋体"/>
                <w:color w:val="000000"/>
                <w:sz w:val="21"/>
                <w:szCs w:val="21"/>
              </w:rPr>
            </w:pPr>
          </w:p>
        </w:tc>
      </w:tr>
      <w:tr>
        <w:tblPrEx>
          <w:tblCellMar>
            <w:top w:w="0" w:type="dxa"/>
            <w:left w:w="0" w:type="dxa"/>
            <w:bottom w:w="0" w:type="dxa"/>
            <w:right w:w="0" w:type="dxa"/>
          </w:tblCellMar>
        </w:tblPrEx>
        <w:trPr>
          <w:trHeight w:val="1140" w:hRule="atLeast"/>
        </w:trPr>
        <w:tc>
          <w:tcPr>
            <w:tcW w:w="711" w:type="dxa"/>
            <w:vMerge w:val="continue"/>
            <w:tcBorders>
              <w:top w:val="single" w:color="auto" w:sz="4" w:space="0"/>
              <w:left w:val="single" w:color="000000" w:sz="4" w:space="0"/>
              <w:bottom w:val="single" w:color="auto" w:sz="4" w:space="0"/>
              <w:right w:val="single" w:color="000000" w:sz="4" w:space="0"/>
            </w:tcBorders>
            <w:tcMar>
              <w:top w:w="15" w:type="dxa"/>
              <w:left w:w="15" w:type="dxa"/>
              <w:right w:w="15" w:type="dxa"/>
            </w:tcMar>
            <w:vAlign w:val="center"/>
          </w:tcPr>
          <w:p>
            <w:pPr>
              <w:jc w:val="center"/>
              <w:rPr>
                <w:rFonts w:ascii="宋体" w:hAnsi="宋体"/>
                <w:b/>
                <w:color w:val="000000"/>
                <w:sz w:val="21"/>
                <w:szCs w:val="21"/>
              </w:rPr>
            </w:pPr>
          </w:p>
        </w:tc>
        <w:tc>
          <w:tcPr>
            <w:tcW w:w="4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olor w:val="000000"/>
                <w:sz w:val="21"/>
                <w:szCs w:val="21"/>
              </w:rPr>
            </w:pPr>
            <w:r>
              <w:rPr>
                <w:rFonts w:hint="eastAsia" w:ascii="宋体" w:hAnsi="宋体"/>
                <w:color w:val="000000"/>
                <w:kern w:val="0"/>
                <w:sz w:val="21"/>
                <w:szCs w:val="21"/>
              </w:rPr>
              <w:t>18</w:t>
            </w:r>
          </w:p>
        </w:tc>
        <w:tc>
          <w:tcPr>
            <w:tcW w:w="7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olor w:val="000000"/>
                <w:sz w:val="21"/>
                <w:szCs w:val="21"/>
              </w:rPr>
            </w:pPr>
            <w:r>
              <w:rPr>
                <w:rFonts w:hint="eastAsia" w:ascii="宋体" w:hAnsi="宋体"/>
                <w:color w:val="000000"/>
                <w:kern w:val="0"/>
                <w:sz w:val="21"/>
                <w:szCs w:val="21"/>
              </w:rPr>
              <w:t>通讯手机</w:t>
            </w:r>
          </w:p>
        </w:tc>
        <w:tc>
          <w:tcPr>
            <w:tcW w:w="605" w:type="dxa"/>
            <w:tcBorders>
              <w:top w:val="single" w:color="auto"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olor w:val="000000"/>
                <w:sz w:val="21"/>
                <w:szCs w:val="21"/>
              </w:rPr>
            </w:pPr>
            <w:r>
              <w:rPr>
                <w:rFonts w:hint="eastAsia" w:ascii="宋体" w:hAnsi="宋体"/>
                <w:color w:val="000000"/>
                <w:kern w:val="0"/>
                <w:sz w:val="21"/>
                <w:szCs w:val="21"/>
              </w:rPr>
              <w:t>1部</w:t>
            </w:r>
          </w:p>
        </w:tc>
        <w:tc>
          <w:tcPr>
            <w:tcW w:w="7430" w:type="dxa"/>
            <w:tcBorders>
              <w:top w:val="single" w:color="auto" w:sz="4" w:space="0"/>
              <w:left w:val="single" w:color="000000" w:sz="4" w:space="0"/>
              <w:bottom w:val="nil"/>
              <w:right w:val="single" w:color="000000" w:sz="4" w:space="0"/>
            </w:tcBorders>
            <w:tcMar>
              <w:top w:w="15" w:type="dxa"/>
              <w:left w:w="15" w:type="dxa"/>
              <w:right w:w="15" w:type="dxa"/>
            </w:tcMar>
            <w:vAlign w:val="center"/>
          </w:tcPr>
          <w:p>
            <w:pPr>
              <w:widowControl/>
              <w:jc w:val="left"/>
              <w:textAlignment w:val="center"/>
              <w:rPr>
                <w:rFonts w:ascii="宋体" w:hAnsi="宋体"/>
                <w:color w:val="000000"/>
                <w:kern w:val="0"/>
                <w:sz w:val="21"/>
                <w:szCs w:val="21"/>
              </w:rPr>
            </w:pPr>
            <w:r>
              <w:rPr>
                <w:rFonts w:hint="eastAsia" w:ascii="宋体" w:hAnsi="宋体"/>
                <w:color w:val="000000"/>
                <w:kern w:val="0"/>
                <w:sz w:val="21"/>
                <w:szCs w:val="21"/>
              </w:rPr>
              <w:t>屏幕类型：全面屏</w:t>
            </w:r>
          </w:p>
          <w:p>
            <w:pPr>
              <w:widowControl/>
              <w:jc w:val="left"/>
              <w:textAlignment w:val="center"/>
              <w:rPr>
                <w:rFonts w:ascii="宋体" w:hAnsi="宋体"/>
                <w:color w:val="000000"/>
                <w:kern w:val="0"/>
                <w:sz w:val="21"/>
                <w:szCs w:val="21"/>
              </w:rPr>
            </w:pPr>
            <w:r>
              <w:rPr>
                <w:rFonts w:hint="eastAsia" w:ascii="宋体" w:hAnsi="宋体"/>
                <w:color w:val="000000"/>
                <w:kern w:val="0"/>
                <w:sz w:val="21"/>
                <w:szCs w:val="21"/>
              </w:rPr>
              <w:t>出厂系统内核：Android 9.0</w:t>
            </w:r>
          </w:p>
          <w:p>
            <w:pPr>
              <w:widowControl/>
              <w:jc w:val="left"/>
              <w:textAlignment w:val="center"/>
              <w:rPr>
                <w:rFonts w:ascii="宋体" w:hAnsi="宋体"/>
                <w:color w:val="000000"/>
                <w:kern w:val="0"/>
                <w:sz w:val="21"/>
                <w:szCs w:val="21"/>
              </w:rPr>
            </w:pPr>
            <w:r>
              <w:rPr>
                <w:rFonts w:hint="eastAsia" w:ascii="宋体" w:hAnsi="宋体"/>
                <w:color w:val="000000"/>
                <w:kern w:val="0"/>
                <w:sz w:val="21"/>
                <w:szCs w:val="21"/>
              </w:rPr>
              <w:t>操作系统：EMUI 9.1.1</w:t>
            </w:r>
          </w:p>
          <w:p>
            <w:pPr>
              <w:widowControl/>
              <w:jc w:val="left"/>
              <w:textAlignment w:val="center"/>
              <w:rPr>
                <w:rFonts w:ascii="宋体" w:hAnsi="宋体"/>
                <w:color w:val="000000"/>
                <w:kern w:val="0"/>
                <w:sz w:val="21"/>
                <w:szCs w:val="21"/>
              </w:rPr>
            </w:pPr>
            <w:r>
              <w:rPr>
                <w:rFonts w:hint="eastAsia" w:ascii="宋体" w:hAnsi="宋体"/>
                <w:color w:val="000000"/>
                <w:kern w:val="0"/>
                <w:sz w:val="21"/>
                <w:szCs w:val="21"/>
              </w:rPr>
              <w:t>CPU型号：海思 麒麟 810</w:t>
            </w:r>
          </w:p>
          <w:p>
            <w:pPr>
              <w:widowControl/>
              <w:jc w:val="left"/>
              <w:textAlignment w:val="center"/>
              <w:rPr>
                <w:rFonts w:ascii="宋体" w:hAnsi="宋体"/>
                <w:color w:val="000000"/>
                <w:kern w:val="0"/>
                <w:sz w:val="21"/>
                <w:szCs w:val="21"/>
              </w:rPr>
            </w:pPr>
            <w:r>
              <w:rPr>
                <w:rFonts w:hint="eastAsia" w:ascii="宋体" w:hAnsi="宋体"/>
                <w:color w:val="000000"/>
                <w:kern w:val="0"/>
                <w:sz w:val="21"/>
                <w:szCs w:val="21"/>
              </w:rPr>
              <w:t>触摸屏类型：电容屏，多点触控</w:t>
            </w:r>
          </w:p>
          <w:p>
            <w:pPr>
              <w:widowControl/>
              <w:jc w:val="left"/>
              <w:textAlignment w:val="center"/>
              <w:rPr>
                <w:rFonts w:ascii="宋体" w:hAnsi="宋体"/>
                <w:color w:val="000000"/>
                <w:kern w:val="0"/>
                <w:sz w:val="21"/>
                <w:szCs w:val="21"/>
              </w:rPr>
            </w:pPr>
            <w:r>
              <w:rPr>
                <w:rFonts w:hint="eastAsia" w:ascii="宋体" w:hAnsi="宋体"/>
                <w:color w:val="000000"/>
                <w:kern w:val="0"/>
                <w:sz w:val="21"/>
                <w:szCs w:val="21"/>
              </w:rPr>
              <w:t>主屏尺寸：6.59英寸</w:t>
            </w:r>
          </w:p>
          <w:p>
            <w:pPr>
              <w:widowControl/>
              <w:jc w:val="left"/>
              <w:textAlignment w:val="center"/>
              <w:rPr>
                <w:rFonts w:ascii="宋体" w:hAnsi="宋体"/>
                <w:color w:val="000000"/>
                <w:kern w:val="0"/>
                <w:sz w:val="21"/>
                <w:szCs w:val="21"/>
              </w:rPr>
            </w:pPr>
            <w:r>
              <w:rPr>
                <w:rFonts w:hint="eastAsia" w:ascii="宋体" w:hAnsi="宋体"/>
                <w:color w:val="000000"/>
                <w:kern w:val="0"/>
                <w:sz w:val="21"/>
                <w:szCs w:val="21"/>
              </w:rPr>
              <w:t>主屏分辨率：2340x1080像素</w:t>
            </w:r>
          </w:p>
          <w:p>
            <w:pPr>
              <w:widowControl/>
              <w:jc w:val="left"/>
              <w:textAlignment w:val="center"/>
              <w:rPr>
                <w:rFonts w:ascii="宋体" w:hAnsi="宋体"/>
                <w:color w:val="000000"/>
                <w:kern w:val="0"/>
                <w:sz w:val="21"/>
                <w:szCs w:val="21"/>
              </w:rPr>
            </w:pPr>
            <w:r>
              <w:rPr>
                <w:rFonts w:hint="eastAsia" w:ascii="宋体" w:hAnsi="宋体"/>
                <w:color w:val="000000"/>
                <w:kern w:val="0"/>
                <w:sz w:val="21"/>
                <w:szCs w:val="21"/>
              </w:rPr>
              <w:t>屏幕像素密度：391ppi</w:t>
            </w:r>
          </w:p>
          <w:p>
            <w:pPr>
              <w:widowControl/>
              <w:jc w:val="left"/>
              <w:textAlignment w:val="center"/>
              <w:rPr>
                <w:rFonts w:ascii="宋体" w:hAnsi="宋体"/>
                <w:color w:val="000000"/>
                <w:kern w:val="0"/>
                <w:sz w:val="21"/>
                <w:szCs w:val="21"/>
              </w:rPr>
            </w:pPr>
            <w:r>
              <w:rPr>
                <w:rFonts w:hint="eastAsia" w:ascii="宋体" w:hAnsi="宋体"/>
                <w:color w:val="000000"/>
                <w:kern w:val="0"/>
                <w:sz w:val="21"/>
                <w:szCs w:val="21"/>
              </w:rPr>
              <w:t>核心数：八核</w:t>
            </w:r>
          </w:p>
          <w:p>
            <w:pPr>
              <w:widowControl/>
              <w:jc w:val="left"/>
              <w:textAlignment w:val="center"/>
              <w:rPr>
                <w:rFonts w:ascii="宋体" w:hAnsi="宋体"/>
                <w:color w:val="000000"/>
                <w:kern w:val="0"/>
                <w:sz w:val="21"/>
                <w:szCs w:val="21"/>
              </w:rPr>
            </w:pPr>
            <w:r>
              <w:rPr>
                <w:rFonts w:hint="eastAsia" w:ascii="宋体" w:hAnsi="宋体"/>
                <w:color w:val="000000"/>
                <w:kern w:val="0"/>
                <w:sz w:val="21"/>
                <w:szCs w:val="21"/>
              </w:rPr>
              <w:t xml:space="preserve">摄像头总数:3ge </w:t>
            </w:r>
          </w:p>
          <w:p>
            <w:pPr>
              <w:widowControl/>
              <w:jc w:val="left"/>
              <w:textAlignment w:val="center"/>
              <w:rPr>
                <w:rFonts w:ascii="宋体" w:hAnsi="宋体"/>
                <w:color w:val="000000"/>
                <w:kern w:val="0"/>
                <w:sz w:val="21"/>
                <w:szCs w:val="21"/>
              </w:rPr>
            </w:pPr>
            <w:r>
              <w:rPr>
                <w:rFonts w:hint="eastAsia" w:ascii="宋体" w:hAnsi="宋体"/>
                <w:color w:val="000000"/>
                <w:kern w:val="0"/>
                <w:sz w:val="21"/>
                <w:szCs w:val="21"/>
              </w:rPr>
              <w:t>后置摄像头：4800万像素+200万像</w:t>
            </w:r>
          </w:p>
          <w:p>
            <w:pPr>
              <w:widowControl/>
              <w:jc w:val="left"/>
              <w:textAlignment w:val="center"/>
              <w:rPr>
                <w:rFonts w:ascii="宋体" w:hAnsi="宋体"/>
                <w:color w:val="000000"/>
                <w:sz w:val="21"/>
                <w:szCs w:val="21"/>
              </w:rPr>
            </w:pPr>
            <w:r>
              <w:rPr>
                <w:rFonts w:hint="eastAsia" w:ascii="宋体" w:hAnsi="宋体"/>
                <w:color w:val="000000"/>
                <w:kern w:val="0"/>
                <w:sz w:val="21"/>
                <w:szCs w:val="21"/>
              </w:rPr>
              <w:t>前置摄像头：1600万像素升降式镜头</w:t>
            </w:r>
          </w:p>
        </w:tc>
      </w:tr>
      <w:tr>
        <w:tblPrEx>
          <w:tblCellMar>
            <w:top w:w="0" w:type="dxa"/>
            <w:left w:w="0" w:type="dxa"/>
            <w:bottom w:w="0" w:type="dxa"/>
            <w:right w:w="0" w:type="dxa"/>
          </w:tblCellMar>
        </w:tblPrEx>
        <w:trPr>
          <w:trHeight w:val="1080" w:hRule="atLeast"/>
        </w:trPr>
        <w:tc>
          <w:tcPr>
            <w:tcW w:w="711" w:type="dxa"/>
            <w:vMerge w:val="continue"/>
            <w:tcBorders>
              <w:top w:val="single" w:color="auto" w:sz="4" w:space="0"/>
              <w:left w:val="single" w:color="000000" w:sz="4" w:space="0"/>
              <w:bottom w:val="single" w:color="auto" w:sz="4" w:space="0"/>
              <w:right w:val="single" w:color="000000" w:sz="4" w:space="0"/>
            </w:tcBorders>
            <w:tcMar>
              <w:top w:w="15" w:type="dxa"/>
              <w:left w:w="15" w:type="dxa"/>
              <w:right w:w="15" w:type="dxa"/>
            </w:tcMar>
            <w:vAlign w:val="center"/>
          </w:tcPr>
          <w:p>
            <w:pPr>
              <w:jc w:val="center"/>
              <w:rPr>
                <w:rFonts w:ascii="宋体" w:hAnsi="宋体"/>
                <w:b/>
                <w:color w:val="000000"/>
                <w:sz w:val="21"/>
                <w:szCs w:val="21"/>
              </w:rPr>
            </w:pPr>
          </w:p>
        </w:tc>
        <w:tc>
          <w:tcPr>
            <w:tcW w:w="435" w:type="dxa"/>
            <w:tcBorders>
              <w:top w:val="single" w:color="000000" w:sz="4" w:space="0"/>
              <w:left w:val="single" w:color="000000" w:sz="4" w:space="0"/>
              <w:bottom w:val="nil"/>
              <w:right w:val="single" w:color="000000" w:sz="4" w:space="0"/>
            </w:tcBorders>
            <w:tcMar>
              <w:top w:w="15" w:type="dxa"/>
              <w:left w:w="15" w:type="dxa"/>
              <w:right w:w="15" w:type="dxa"/>
            </w:tcMar>
            <w:vAlign w:val="center"/>
          </w:tcPr>
          <w:p>
            <w:pPr>
              <w:widowControl/>
              <w:jc w:val="center"/>
              <w:textAlignment w:val="center"/>
              <w:rPr>
                <w:rFonts w:ascii="宋体" w:hAnsi="宋体"/>
                <w:color w:val="000000"/>
                <w:sz w:val="21"/>
                <w:szCs w:val="21"/>
              </w:rPr>
            </w:pPr>
            <w:r>
              <w:rPr>
                <w:rFonts w:hint="eastAsia" w:ascii="宋体" w:hAnsi="宋体"/>
                <w:color w:val="000000"/>
                <w:kern w:val="0"/>
                <w:sz w:val="21"/>
                <w:szCs w:val="21"/>
              </w:rPr>
              <w:t>19</w:t>
            </w:r>
          </w:p>
        </w:tc>
        <w:tc>
          <w:tcPr>
            <w:tcW w:w="735" w:type="dxa"/>
            <w:tcBorders>
              <w:top w:val="single" w:color="000000" w:sz="4" w:space="0"/>
              <w:left w:val="single" w:color="000000" w:sz="4" w:space="0"/>
              <w:bottom w:val="nil"/>
              <w:right w:val="single" w:color="000000" w:sz="4" w:space="0"/>
            </w:tcBorders>
            <w:tcMar>
              <w:top w:w="15" w:type="dxa"/>
              <w:left w:w="15" w:type="dxa"/>
              <w:right w:w="15" w:type="dxa"/>
            </w:tcMar>
            <w:vAlign w:val="center"/>
          </w:tcPr>
          <w:p>
            <w:pPr>
              <w:widowControl/>
              <w:jc w:val="center"/>
              <w:textAlignment w:val="center"/>
              <w:rPr>
                <w:rFonts w:ascii="宋体" w:hAnsi="宋体"/>
                <w:color w:val="000000"/>
                <w:sz w:val="21"/>
                <w:szCs w:val="21"/>
              </w:rPr>
            </w:pPr>
            <w:r>
              <w:rPr>
                <w:rFonts w:hint="eastAsia" w:ascii="宋体" w:hAnsi="宋体"/>
                <w:color w:val="000000"/>
                <w:kern w:val="0"/>
                <w:sz w:val="21"/>
                <w:szCs w:val="21"/>
              </w:rPr>
              <w:t>UPS电源</w:t>
            </w:r>
          </w:p>
        </w:tc>
        <w:tc>
          <w:tcPr>
            <w:tcW w:w="605" w:type="dxa"/>
            <w:tcBorders>
              <w:top w:val="single" w:color="000000" w:sz="4" w:space="0"/>
              <w:left w:val="single" w:color="000000" w:sz="4" w:space="0"/>
              <w:bottom w:val="nil"/>
              <w:right w:val="single" w:color="000000" w:sz="4" w:space="0"/>
            </w:tcBorders>
            <w:tcMar>
              <w:top w:w="15" w:type="dxa"/>
              <w:left w:w="15" w:type="dxa"/>
              <w:right w:w="15" w:type="dxa"/>
            </w:tcMar>
            <w:vAlign w:val="center"/>
          </w:tcPr>
          <w:p>
            <w:pPr>
              <w:widowControl/>
              <w:jc w:val="center"/>
              <w:textAlignment w:val="center"/>
              <w:rPr>
                <w:rFonts w:ascii="宋体" w:hAnsi="宋体"/>
                <w:color w:val="000000"/>
                <w:sz w:val="21"/>
                <w:szCs w:val="21"/>
              </w:rPr>
            </w:pPr>
            <w:r>
              <w:rPr>
                <w:rFonts w:hint="eastAsia" w:ascii="宋体" w:hAnsi="宋体"/>
                <w:color w:val="000000"/>
                <w:kern w:val="0"/>
                <w:sz w:val="21"/>
                <w:szCs w:val="21"/>
              </w:rPr>
              <w:t>4台</w:t>
            </w:r>
          </w:p>
        </w:tc>
        <w:tc>
          <w:tcPr>
            <w:tcW w:w="7430" w:type="dxa"/>
            <w:tcBorders>
              <w:top w:val="single" w:color="000000" w:sz="4" w:space="0"/>
              <w:left w:val="single" w:color="000000" w:sz="4" w:space="0"/>
              <w:bottom w:val="nil"/>
              <w:right w:val="single" w:color="000000" w:sz="4" w:space="0"/>
            </w:tcBorders>
            <w:tcMar>
              <w:top w:w="15" w:type="dxa"/>
              <w:left w:w="15" w:type="dxa"/>
              <w:right w:w="15" w:type="dxa"/>
            </w:tcMar>
            <w:vAlign w:val="center"/>
          </w:tcPr>
          <w:p>
            <w:pPr>
              <w:widowControl/>
              <w:jc w:val="left"/>
              <w:textAlignment w:val="center"/>
              <w:rPr>
                <w:rFonts w:ascii="宋体" w:hAnsi="宋体"/>
                <w:color w:val="000000"/>
                <w:sz w:val="21"/>
                <w:szCs w:val="21"/>
              </w:rPr>
            </w:pPr>
            <w:r>
              <w:rPr>
                <w:rFonts w:hint="eastAsia" w:ascii="宋体" w:hAnsi="宋体"/>
                <w:color w:val="000000"/>
                <w:kern w:val="0"/>
                <w:sz w:val="21"/>
                <w:szCs w:val="21"/>
              </w:rPr>
              <w:t>1.功率：输入功率：3000瓦，最大输出功率：2400瓦</w:t>
            </w:r>
            <w:r>
              <w:rPr>
                <w:rFonts w:hint="eastAsia" w:ascii="宋体" w:hAnsi="宋体"/>
                <w:color w:val="000000"/>
                <w:kern w:val="0"/>
                <w:sz w:val="21"/>
                <w:szCs w:val="21"/>
              </w:rPr>
              <w:br w:type="textWrapping"/>
            </w:r>
            <w:r>
              <w:rPr>
                <w:rFonts w:hint="eastAsia" w:ascii="宋体" w:hAnsi="宋体"/>
                <w:color w:val="000000"/>
                <w:kern w:val="0"/>
                <w:sz w:val="21"/>
                <w:szCs w:val="21"/>
              </w:rPr>
              <w:t>2.性能：稳压、瞬间断电后能保证设备正常关机，保存数据。</w:t>
            </w:r>
            <w:r>
              <w:rPr>
                <w:rFonts w:hint="eastAsia" w:ascii="宋体" w:hAnsi="宋体"/>
                <w:color w:val="000000"/>
                <w:kern w:val="0"/>
                <w:sz w:val="21"/>
                <w:szCs w:val="21"/>
              </w:rPr>
              <w:br w:type="textWrapping"/>
            </w:r>
            <w:r>
              <w:rPr>
                <w:rFonts w:hint="eastAsia" w:ascii="宋体" w:hAnsi="宋体"/>
                <w:color w:val="000000"/>
                <w:kern w:val="0"/>
                <w:sz w:val="21"/>
                <w:szCs w:val="21"/>
              </w:rPr>
              <w:t>3.负载：2400瓦以内，供电10分钟左右；1200瓦以内，供电20分钟左右</w:t>
            </w:r>
          </w:p>
        </w:tc>
      </w:tr>
      <w:tr>
        <w:tblPrEx>
          <w:tblCellMar>
            <w:top w:w="0" w:type="dxa"/>
            <w:left w:w="0" w:type="dxa"/>
            <w:bottom w:w="0" w:type="dxa"/>
            <w:right w:w="0" w:type="dxa"/>
          </w:tblCellMar>
        </w:tblPrEx>
        <w:trPr>
          <w:trHeight w:val="1030" w:hRule="atLeast"/>
        </w:trPr>
        <w:tc>
          <w:tcPr>
            <w:tcW w:w="711" w:type="dxa"/>
            <w:tcBorders>
              <w:top w:val="single" w:color="auto"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宋体" w:hAnsi="宋体"/>
                <w:color w:val="000000"/>
                <w:sz w:val="21"/>
                <w:szCs w:val="21"/>
              </w:rPr>
            </w:pPr>
          </w:p>
        </w:tc>
        <w:tc>
          <w:tcPr>
            <w:tcW w:w="43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color w:val="000000"/>
                <w:sz w:val="21"/>
                <w:szCs w:val="21"/>
              </w:rPr>
            </w:pPr>
            <w:r>
              <w:rPr>
                <w:rFonts w:hint="eastAsia" w:ascii="宋体" w:hAnsi="宋体"/>
                <w:color w:val="000000"/>
                <w:kern w:val="0"/>
                <w:sz w:val="21"/>
                <w:szCs w:val="21"/>
              </w:rPr>
              <w:t>20</w:t>
            </w:r>
          </w:p>
        </w:tc>
        <w:tc>
          <w:tcPr>
            <w:tcW w:w="73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color w:val="000000"/>
                <w:sz w:val="21"/>
                <w:szCs w:val="21"/>
              </w:rPr>
            </w:pPr>
            <w:r>
              <w:rPr>
                <w:rFonts w:hint="eastAsia" w:ascii="宋体" w:hAnsi="宋体"/>
                <w:color w:val="000000"/>
                <w:kern w:val="0"/>
                <w:sz w:val="21"/>
                <w:szCs w:val="21"/>
              </w:rPr>
              <w:t>台式高速冷冻离心机(进口产品）</w:t>
            </w:r>
          </w:p>
        </w:tc>
        <w:tc>
          <w:tcPr>
            <w:tcW w:w="60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color w:val="000000"/>
                <w:sz w:val="21"/>
                <w:szCs w:val="21"/>
              </w:rPr>
            </w:pPr>
            <w:r>
              <w:rPr>
                <w:rFonts w:hint="eastAsia" w:ascii="宋体" w:hAnsi="宋体"/>
                <w:color w:val="000000"/>
                <w:kern w:val="0"/>
                <w:sz w:val="21"/>
                <w:szCs w:val="21"/>
              </w:rPr>
              <w:t>1台</w:t>
            </w:r>
          </w:p>
        </w:tc>
        <w:tc>
          <w:tcPr>
            <w:tcW w:w="743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宋体" w:hAnsi="宋体"/>
                <w:color w:val="000000"/>
                <w:kern w:val="0"/>
                <w:sz w:val="21"/>
                <w:szCs w:val="21"/>
              </w:rPr>
            </w:pPr>
            <w:r>
              <w:rPr>
                <w:rFonts w:hint="eastAsia" w:ascii="宋体" w:hAnsi="宋体"/>
                <w:color w:val="000000"/>
                <w:kern w:val="0"/>
                <w:sz w:val="21"/>
                <w:szCs w:val="21"/>
              </w:rPr>
              <w:t>一、产品性能参数及配置</w:t>
            </w:r>
          </w:p>
          <w:p>
            <w:pPr>
              <w:widowControl/>
              <w:jc w:val="left"/>
              <w:textAlignment w:val="center"/>
              <w:rPr>
                <w:rFonts w:ascii="宋体" w:hAnsi="宋体"/>
                <w:color w:val="000000"/>
                <w:sz w:val="21"/>
                <w:szCs w:val="21"/>
              </w:rPr>
            </w:pPr>
            <w:r>
              <w:rPr>
                <w:rFonts w:hint="eastAsia" w:ascii="宋体" w:hAnsi="宋体"/>
                <w:color w:val="000000"/>
                <w:kern w:val="0"/>
                <w:sz w:val="21"/>
                <w:szCs w:val="21"/>
              </w:rPr>
              <w:t>1.1、保证多种样品离心，温度调节范围不低于-10℃到+40℃；</w:t>
            </w:r>
            <w:r>
              <w:rPr>
                <w:rFonts w:hint="eastAsia" w:ascii="宋体" w:hAnsi="宋体"/>
                <w:color w:val="000000"/>
                <w:kern w:val="0"/>
                <w:sz w:val="21"/>
                <w:szCs w:val="21"/>
              </w:rPr>
              <w:br w:type="textWrapping"/>
            </w:r>
            <w:r>
              <w:rPr>
                <w:rFonts w:hint="eastAsia" w:ascii="宋体" w:hAnsi="宋体"/>
                <w:color w:val="000000"/>
                <w:kern w:val="0"/>
                <w:sz w:val="21"/>
                <w:szCs w:val="21"/>
              </w:rPr>
              <w:t>1.2、转子自动锁定系统，安全便捷，可在3秒内完成转子更换。</w:t>
            </w:r>
            <w:r>
              <w:rPr>
                <w:rFonts w:hint="eastAsia" w:ascii="宋体" w:hAnsi="宋体"/>
                <w:color w:val="000000"/>
                <w:kern w:val="0"/>
                <w:sz w:val="21"/>
                <w:szCs w:val="21"/>
              </w:rPr>
              <w:br w:type="textWrapping"/>
            </w:r>
            <w:r>
              <w:rPr>
                <w:rFonts w:hint="eastAsia" w:ascii="宋体" w:hAnsi="宋体"/>
                <w:color w:val="000000"/>
                <w:kern w:val="0"/>
                <w:sz w:val="21"/>
                <w:szCs w:val="21"/>
              </w:rPr>
              <w:t>1.3、密封吊篮锁定系统，提供最大的生物安全保障，具有第三方生物安全认证。</w:t>
            </w:r>
            <w:r>
              <w:rPr>
                <w:rFonts w:hint="eastAsia" w:ascii="宋体" w:hAnsi="宋体"/>
                <w:color w:val="000000"/>
                <w:kern w:val="0"/>
                <w:sz w:val="21"/>
                <w:szCs w:val="21"/>
              </w:rPr>
              <w:br w:type="textWrapping"/>
            </w:r>
            <w:r>
              <w:rPr>
                <w:rFonts w:hint="eastAsia" w:ascii="宋体" w:hAnsi="宋体"/>
                <w:color w:val="000000"/>
                <w:kern w:val="0"/>
                <w:sz w:val="21"/>
                <w:szCs w:val="21"/>
              </w:rPr>
              <w:t>1.4、智能离心控制系统，自动优化离心的最佳状态。</w:t>
            </w:r>
            <w:r>
              <w:rPr>
                <w:rFonts w:hint="eastAsia" w:ascii="宋体" w:hAnsi="宋体"/>
                <w:color w:val="000000"/>
                <w:kern w:val="0"/>
                <w:sz w:val="21"/>
                <w:szCs w:val="21"/>
              </w:rPr>
              <w:br w:type="textWrapping"/>
            </w:r>
            <w:r>
              <w:rPr>
                <w:rFonts w:hint="eastAsia" w:ascii="宋体" w:hAnsi="宋体"/>
                <w:color w:val="000000"/>
                <w:kern w:val="0"/>
                <w:sz w:val="21"/>
                <w:szCs w:val="21"/>
              </w:rPr>
              <w:t>1.5、电动门锁：机械式和电动式锲合门锁系统兼具优点，具有高度的可靠性，并可选择是否在离心结束时自动开盖。</w:t>
            </w:r>
            <w:r>
              <w:rPr>
                <w:rFonts w:hint="eastAsia" w:ascii="宋体" w:hAnsi="宋体"/>
                <w:color w:val="000000"/>
                <w:kern w:val="0"/>
                <w:sz w:val="21"/>
                <w:szCs w:val="21"/>
              </w:rPr>
              <w:br w:type="textWrapping"/>
            </w:r>
            <w:r>
              <w:rPr>
                <w:rFonts w:hint="eastAsia" w:ascii="宋体" w:hAnsi="宋体"/>
                <w:color w:val="000000"/>
                <w:kern w:val="0"/>
                <w:sz w:val="21"/>
                <w:szCs w:val="21"/>
              </w:rPr>
              <w:t>1.6、离心机后期可增选配碳纤维材质转头，无金属疲劳出现，增强了使用寿命和安全性，防各种化学腐蚀。</w:t>
            </w:r>
            <w:r>
              <w:rPr>
                <w:rFonts w:hint="eastAsia" w:ascii="宋体" w:hAnsi="宋体"/>
                <w:color w:val="000000"/>
                <w:kern w:val="0"/>
                <w:sz w:val="21"/>
                <w:szCs w:val="21"/>
              </w:rPr>
              <w:br w:type="textWrapping"/>
            </w:r>
            <w:r>
              <w:rPr>
                <w:rFonts w:hint="eastAsia" w:ascii="宋体" w:hAnsi="宋体"/>
                <w:color w:val="000000"/>
                <w:kern w:val="0"/>
                <w:sz w:val="21"/>
                <w:szCs w:val="21"/>
              </w:rPr>
              <w:t>1.7、为了保证日常使用时快速调用存储程序，设备程序按键不小于5个。</w:t>
            </w:r>
            <w:r>
              <w:rPr>
                <w:rFonts w:hint="eastAsia" w:ascii="宋体" w:hAnsi="宋体"/>
                <w:color w:val="000000"/>
                <w:kern w:val="0"/>
                <w:sz w:val="21"/>
                <w:szCs w:val="21"/>
              </w:rPr>
              <w:br w:type="textWrapping"/>
            </w:r>
            <w:r>
              <w:rPr>
                <w:rFonts w:hint="eastAsia" w:ascii="宋体" w:hAnsi="宋体"/>
                <w:color w:val="000000"/>
                <w:kern w:val="0"/>
                <w:sz w:val="21"/>
                <w:szCs w:val="21"/>
              </w:rPr>
              <w:t>1.8、离心转速控制：RCF和RPM可随时切换，兼顾不同样品离心需求最大设定值分别不低于25830xg及15200rpm；</w:t>
            </w:r>
            <w:r>
              <w:rPr>
                <w:rFonts w:hint="eastAsia" w:ascii="宋体" w:hAnsi="宋体"/>
                <w:color w:val="000000"/>
                <w:kern w:val="0"/>
                <w:sz w:val="21"/>
                <w:szCs w:val="21"/>
              </w:rPr>
              <w:br w:type="textWrapping"/>
            </w:r>
            <w:r>
              <w:rPr>
                <w:rFonts w:hint="eastAsia" w:ascii="宋体" w:hAnsi="宋体"/>
                <w:color w:val="000000"/>
                <w:kern w:val="0"/>
                <w:sz w:val="21"/>
                <w:szCs w:val="21"/>
              </w:rPr>
              <w:t>1.9、设备角转子最大容量≥6*100ml，增加设备的扩展性。</w:t>
            </w:r>
            <w:r>
              <w:rPr>
                <w:rFonts w:hint="eastAsia" w:ascii="宋体" w:hAnsi="宋体"/>
                <w:color w:val="000000"/>
                <w:kern w:val="0"/>
                <w:sz w:val="21"/>
                <w:szCs w:val="21"/>
              </w:rPr>
              <w:br w:type="textWrapping"/>
            </w:r>
            <w:r>
              <w:rPr>
                <w:rFonts w:hint="eastAsia" w:ascii="宋体" w:hAnsi="宋体"/>
                <w:color w:val="000000"/>
                <w:kern w:val="0"/>
                <w:sz w:val="21"/>
                <w:szCs w:val="21"/>
              </w:rPr>
              <w:t>1.10、预冷功能：室温23℃时，预冷到4℃只需15分钟；</w:t>
            </w:r>
            <w:r>
              <w:rPr>
                <w:rFonts w:hint="eastAsia" w:ascii="宋体" w:hAnsi="宋体"/>
                <w:color w:val="000000"/>
                <w:kern w:val="0"/>
                <w:sz w:val="21"/>
                <w:szCs w:val="21"/>
              </w:rPr>
              <w:br w:type="textWrapping"/>
            </w:r>
            <w:r>
              <w:rPr>
                <w:rFonts w:hint="eastAsia" w:ascii="宋体" w:hAnsi="宋体"/>
                <w:color w:val="000000"/>
                <w:kern w:val="0"/>
                <w:sz w:val="21"/>
                <w:szCs w:val="21"/>
              </w:rPr>
              <w:t>1.11、离心时间：0-9小时99分+连续离心，瞬时离心；</w:t>
            </w:r>
            <w:r>
              <w:rPr>
                <w:rFonts w:hint="eastAsia" w:ascii="宋体" w:hAnsi="宋体"/>
                <w:color w:val="000000"/>
                <w:kern w:val="0"/>
                <w:sz w:val="21"/>
                <w:szCs w:val="21"/>
              </w:rPr>
              <w:br w:type="textWrapping"/>
            </w:r>
            <w:r>
              <w:rPr>
                <w:rFonts w:hint="eastAsia" w:ascii="宋体" w:hAnsi="宋体"/>
                <w:color w:val="000000"/>
                <w:kern w:val="0"/>
                <w:sz w:val="21"/>
                <w:szCs w:val="21"/>
              </w:rPr>
              <w:t>1.12、加速设定：9档；减速设定：10档</w:t>
            </w:r>
            <w:r>
              <w:rPr>
                <w:rFonts w:hint="eastAsia" w:ascii="宋体" w:hAnsi="宋体"/>
                <w:color w:val="000000"/>
                <w:kern w:val="0"/>
                <w:sz w:val="21"/>
                <w:szCs w:val="21"/>
              </w:rPr>
              <w:br w:type="textWrapping"/>
            </w:r>
            <w:r>
              <w:rPr>
                <w:rFonts w:hint="eastAsia" w:ascii="宋体" w:hAnsi="宋体"/>
                <w:color w:val="000000"/>
                <w:kern w:val="0"/>
                <w:sz w:val="21"/>
                <w:szCs w:val="21"/>
              </w:rPr>
              <w:t>1.13、质量认证：CE、第三方生物安全认证。</w:t>
            </w:r>
            <w:r>
              <w:rPr>
                <w:rFonts w:hint="eastAsia" w:ascii="宋体" w:hAnsi="宋体"/>
                <w:color w:val="000000"/>
                <w:kern w:val="0"/>
                <w:sz w:val="21"/>
                <w:szCs w:val="21"/>
              </w:rPr>
              <w:br w:type="textWrapping"/>
            </w:r>
            <w:r>
              <w:rPr>
                <w:rFonts w:hint="eastAsia" w:ascii="宋体" w:hAnsi="宋体"/>
                <w:color w:val="000000"/>
                <w:kern w:val="0"/>
                <w:sz w:val="21"/>
                <w:szCs w:val="21"/>
              </w:rPr>
              <w:t>1.14、配置：</w:t>
            </w:r>
            <w:r>
              <w:rPr>
                <w:rFonts w:hint="eastAsia" w:ascii="宋体" w:hAnsi="宋体"/>
                <w:color w:val="000000"/>
                <w:kern w:val="0"/>
                <w:sz w:val="21"/>
                <w:szCs w:val="21"/>
              </w:rPr>
              <w:br w:type="textWrapping"/>
            </w:r>
            <w:r>
              <w:rPr>
                <w:rFonts w:hint="eastAsia" w:ascii="宋体" w:hAnsi="宋体"/>
                <w:color w:val="000000"/>
                <w:kern w:val="0"/>
                <w:sz w:val="21"/>
                <w:szCs w:val="21"/>
              </w:rPr>
              <w:t xml:space="preserve">1.14.1、高速冷冻离心机主机  1台  </w:t>
            </w:r>
            <w:r>
              <w:rPr>
                <w:rFonts w:hint="eastAsia" w:ascii="宋体" w:hAnsi="宋体"/>
                <w:color w:val="000000"/>
                <w:kern w:val="0"/>
                <w:sz w:val="21"/>
                <w:szCs w:val="21"/>
              </w:rPr>
              <w:br w:type="textWrapping"/>
            </w:r>
            <w:r>
              <w:rPr>
                <w:rFonts w:hint="eastAsia" w:ascii="宋体" w:hAnsi="宋体"/>
                <w:color w:val="000000"/>
                <w:kern w:val="0"/>
                <w:sz w:val="21"/>
                <w:szCs w:val="21"/>
              </w:rPr>
              <w:t>1.14.2、4*400ml水平转头一个（转速≥5000rpm，离心力≥4696xg）一套</w:t>
            </w:r>
            <w:r>
              <w:rPr>
                <w:rFonts w:hint="eastAsia" w:ascii="宋体" w:hAnsi="宋体"/>
                <w:color w:val="000000"/>
                <w:kern w:val="0"/>
                <w:sz w:val="21"/>
                <w:szCs w:val="21"/>
              </w:rPr>
              <w:br w:type="textWrapping"/>
            </w:r>
            <w:r>
              <w:rPr>
                <w:rFonts w:hint="eastAsia" w:ascii="宋体" w:hAnsi="宋体"/>
                <w:color w:val="000000"/>
                <w:kern w:val="0"/>
                <w:sz w:val="21"/>
                <w:szCs w:val="21"/>
              </w:rPr>
              <w:t>含：配套吊篮、密封盖各一套</w:t>
            </w:r>
            <w:r>
              <w:rPr>
                <w:rFonts w:hint="eastAsia" w:ascii="宋体" w:hAnsi="宋体"/>
                <w:color w:val="000000"/>
                <w:kern w:val="0"/>
                <w:sz w:val="21"/>
                <w:szCs w:val="21"/>
              </w:rPr>
              <w:br w:type="textWrapping"/>
            </w:r>
            <w:r>
              <w:rPr>
                <w:rFonts w:hint="eastAsia" w:ascii="宋体" w:hAnsi="宋体"/>
                <w:color w:val="000000"/>
                <w:kern w:val="0"/>
                <w:sz w:val="21"/>
                <w:szCs w:val="21"/>
              </w:rPr>
              <w:t>含：5ml/7ml、10ml/15ml采血管适配器各一套（一次最多可离心5ml/7ml采血管76个、10ml/15ml采血管64个）</w:t>
            </w:r>
            <w:r>
              <w:rPr>
                <w:rFonts w:hint="eastAsia" w:ascii="宋体" w:hAnsi="宋体"/>
                <w:color w:val="000000"/>
                <w:kern w:val="0"/>
                <w:sz w:val="21"/>
                <w:szCs w:val="21"/>
              </w:rPr>
              <w:br w:type="textWrapping"/>
            </w:r>
            <w:r>
              <w:rPr>
                <w:rFonts w:hint="eastAsia" w:ascii="宋体" w:hAnsi="宋体"/>
                <w:color w:val="000000"/>
                <w:kern w:val="0"/>
                <w:sz w:val="21"/>
                <w:szCs w:val="21"/>
              </w:rPr>
              <w:t>二、质保服务及售后要求</w:t>
            </w:r>
            <w:r>
              <w:rPr>
                <w:rFonts w:hint="eastAsia" w:ascii="宋体" w:hAnsi="宋体"/>
                <w:color w:val="000000"/>
                <w:kern w:val="0"/>
                <w:sz w:val="21"/>
                <w:szCs w:val="21"/>
              </w:rPr>
              <w:br w:type="textWrapping"/>
            </w:r>
            <w:r>
              <w:rPr>
                <w:rFonts w:hint="eastAsia" w:ascii="宋体" w:hAnsi="宋体"/>
                <w:color w:val="000000"/>
                <w:kern w:val="0"/>
                <w:sz w:val="21"/>
                <w:szCs w:val="21"/>
              </w:rPr>
              <w:t>2.1、自验收合格之日起，设备整机质保一年。</w:t>
            </w:r>
            <w:r>
              <w:rPr>
                <w:rFonts w:hint="eastAsia" w:ascii="宋体" w:hAnsi="宋体"/>
                <w:color w:val="000000"/>
                <w:kern w:val="0"/>
                <w:sz w:val="21"/>
                <w:szCs w:val="21"/>
              </w:rPr>
              <w:br w:type="textWrapping"/>
            </w:r>
            <w:r>
              <w:rPr>
                <w:rFonts w:hint="eastAsia" w:ascii="宋体" w:hAnsi="宋体"/>
                <w:color w:val="000000"/>
                <w:kern w:val="0"/>
                <w:sz w:val="21"/>
                <w:szCs w:val="21"/>
              </w:rPr>
              <w:t>2.2、生产厂家或代理方技术人员需对操作人员进行现场免费培训，培训内容包括设备操作、设备维护及简单的设备维修。</w:t>
            </w:r>
          </w:p>
        </w:tc>
      </w:tr>
      <w:tr>
        <w:tblPrEx>
          <w:tblCellMar>
            <w:top w:w="0" w:type="dxa"/>
            <w:left w:w="0" w:type="dxa"/>
            <w:bottom w:w="0" w:type="dxa"/>
            <w:right w:w="0" w:type="dxa"/>
          </w:tblCellMar>
        </w:tblPrEx>
        <w:trPr>
          <w:trHeight w:val="1295" w:hRule="atLeast"/>
        </w:trPr>
        <w:tc>
          <w:tcPr>
            <w:tcW w:w="71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宋体" w:hAnsi="宋体"/>
                <w:color w:val="000000"/>
                <w:sz w:val="21"/>
                <w:szCs w:val="21"/>
              </w:rPr>
            </w:pPr>
          </w:p>
        </w:tc>
        <w:tc>
          <w:tcPr>
            <w:tcW w:w="43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color w:val="000000"/>
                <w:sz w:val="21"/>
                <w:szCs w:val="21"/>
              </w:rPr>
            </w:pPr>
            <w:r>
              <w:rPr>
                <w:rFonts w:hint="eastAsia" w:ascii="宋体" w:hAnsi="宋体"/>
                <w:color w:val="000000"/>
                <w:kern w:val="0"/>
                <w:sz w:val="21"/>
                <w:szCs w:val="21"/>
              </w:rPr>
              <w:t>21</w:t>
            </w:r>
          </w:p>
        </w:tc>
        <w:tc>
          <w:tcPr>
            <w:tcW w:w="73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color w:val="000000"/>
                <w:sz w:val="21"/>
                <w:szCs w:val="21"/>
              </w:rPr>
            </w:pPr>
            <w:r>
              <w:rPr>
                <w:rFonts w:hint="eastAsia" w:ascii="宋体" w:hAnsi="宋体"/>
                <w:color w:val="000000"/>
                <w:kern w:val="0"/>
                <w:sz w:val="21"/>
                <w:szCs w:val="21"/>
              </w:rPr>
              <w:t>鞋套机</w:t>
            </w:r>
          </w:p>
        </w:tc>
        <w:tc>
          <w:tcPr>
            <w:tcW w:w="60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color w:val="000000"/>
                <w:sz w:val="21"/>
                <w:szCs w:val="21"/>
              </w:rPr>
            </w:pPr>
            <w:r>
              <w:rPr>
                <w:rFonts w:hint="eastAsia" w:ascii="宋体" w:hAnsi="宋体"/>
                <w:color w:val="000000"/>
                <w:kern w:val="0"/>
                <w:sz w:val="21"/>
                <w:szCs w:val="21"/>
              </w:rPr>
              <w:t>1台</w:t>
            </w:r>
          </w:p>
        </w:tc>
        <w:tc>
          <w:tcPr>
            <w:tcW w:w="743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宋体" w:hAnsi="宋体"/>
                <w:color w:val="000000"/>
                <w:sz w:val="21"/>
                <w:szCs w:val="21"/>
              </w:rPr>
            </w:pPr>
            <w:r>
              <w:rPr>
                <w:rFonts w:hint="eastAsia" w:ascii="宋体" w:hAnsi="宋体"/>
                <w:color w:val="000000"/>
                <w:kern w:val="0"/>
                <w:sz w:val="21"/>
                <w:szCs w:val="21"/>
              </w:rPr>
              <w:t>性能特征：菜单操作，定时开关，ABS外壳</w:t>
            </w:r>
            <w:r>
              <w:rPr>
                <w:rFonts w:hint="eastAsia" w:ascii="宋体" w:hAnsi="宋体"/>
                <w:color w:val="000000"/>
                <w:kern w:val="0"/>
                <w:sz w:val="21"/>
                <w:szCs w:val="21"/>
              </w:rPr>
              <w:br w:type="textWrapping"/>
            </w:r>
            <w:r>
              <w:rPr>
                <w:rFonts w:hint="eastAsia" w:ascii="宋体" w:hAnsi="宋体"/>
                <w:color w:val="000000"/>
                <w:kern w:val="0"/>
                <w:sz w:val="21"/>
                <w:szCs w:val="21"/>
              </w:rPr>
              <w:t>适用场合：日常适用于各场合，如实验室，样板房，高档住宅楼等</w:t>
            </w:r>
            <w:r>
              <w:rPr>
                <w:rFonts w:hint="eastAsia" w:ascii="宋体" w:hAnsi="宋体"/>
                <w:color w:val="000000"/>
                <w:kern w:val="0"/>
                <w:sz w:val="21"/>
                <w:szCs w:val="21"/>
              </w:rPr>
              <w:br w:type="textWrapping"/>
            </w:r>
            <w:r>
              <w:rPr>
                <w:rFonts w:hint="eastAsia" w:ascii="宋体" w:hAnsi="宋体"/>
                <w:color w:val="000000"/>
                <w:kern w:val="0"/>
                <w:sz w:val="21"/>
                <w:szCs w:val="21"/>
              </w:rPr>
              <w:t>主要技术规格：</w:t>
            </w:r>
            <w:r>
              <w:rPr>
                <w:rFonts w:hint="eastAsia" w:ascii="宋体" w:hAnsi="宋体"/>
                <w:color w:val="000000"/>
                <w:kern w:val="0"/>
                <w:sz w:val="21"/>
                <w:szCs w:val="21"/>
              </w:rPr>
              <w:br w:type="textWrapping"/>
            </w:r>
            <w:r>
              <w:rPr>
                <w:rFonts w:hint="eastAsia" w:ascii="宋体" w:hAnsi="宋体"/>
                <w:color w:val="000000"/>
                <w:kern w:val="0"/>
                <w:sz w:val="21"/>
                <w:szCs w:val="21"/>
              </w:rPr>
              <w:t>外形尺寸：860*500*380mm</w:t>
            </w:r>
            <w:r>
              <w:rPr>
                <w:rFonts w:hint="eastAsia" w:ascii="宋体" w:hAnsi="宋体"/>
                <w:color w:val="000000"/>
                <w:kern w:val="0"/>
                <w:sz w:val="21"/>
                <w:szCs w:val="21"/>
              </w:rPr>
              <w:br w:type="textWrapping"/>
            </w:r>
            <w:r>
              <w:rPr>
                <w:rFonts w:hint="eastAsia" w:ascii="宋体" w:hAnsi="宋体"/>
                <w:color w:val="000000"/>
                <w:kern w:val="0"/>
                <w:sz w:val="21"/>
                <w:szCs w:val="21"/>
              </w:rPr>
              <w:t>离地高度：15mm</w:t>
            </w:r>
            <w:r>
              <w:rPr>
                <w:rFonts w:hint="eastAsia" w:ascii="宋体" w:hAnsi="宋体"/>
                <w:color w:val="000000"/>
                <w:kern w:val="0"/>
                <w:sz w:val="21"/>
                <w:szCs w:val="21"/>
              </w:rPr>
              <w:br w:type="textWrapping"/>
            </w:r>
            <w:r>
              <w:rPr>
                <w:rFonts w:hint="eastAsia" w:ascii="宋体" w:hAnsi="宋体"/>
                <w:color w:val="000000"/>
                <w:kern w:val="0"/>
                <w:sz w:val="21"/>
                <w:szCs w:val="21"/>
              </w:rPr>
              <w:t>整机净重：20.5kg</w:t>
            </w:r>
            <w:r>
              <w:rPr>
                <w:rFonts w:hint="eastAsia" w:ascii="宋体" w:hAnsi="宋体"/>
                <w:color w:val="000000"/>
                <w:kern w:val="0"/>
                <w:sz w:val="21"/>
                <w:szCs w:val="21"/>
              </w:rPr>
              <w:br w:type="textWrapping"/>
            </w:r>
            <w:r>
              <w:rPr>
                <w:rFonts w:hint="eastAsia" w:ascii="宋体" w:hAnsi="宋体"/>
                <w:color w:val="000000"/>
                <w:kern w:val="0"/>
                <w:sz w:val="21"/>
                <w:szCs w:val="21"/>
              </w:rPr>
              <w:t>使用电压：220v</w:t>
            </w:r>
            <w:r>
              <w:rPr>
                <w:rFonts w:hint="eastAsia" w:ascii="宋体" w:hAnsi="宋体"/>
                <w:color w:val="000000"/>
                <w:kern w:val="0"/>
                <w:sz w:val="21"/>
                <w:szCs w:val="21"/>
              </w:rPr>
              <w:br w:type="textWrapping"/>
            </w:r>
            <w:r>
              <w:rPr>
                <w:rFonts w:hint="eastAsia" w:ascii="宋体" w:hAnsi="宋体"/>
                <w:color w:val="000000"/>
                <w:kern w:val="0"/>
                <w:sz w:val="21"/>
                <w:szCs w:val="21"/>
              </w:rPr>
              <w:t>额定功率：1300w</w:t>
            </w:r>
            <w:r>
              <w:rPr>
                <w:rFonts w:hint="eastAsia" w:ascii="宋体" w:hAnsi="宋体"/>
                <w:color w:val="000000"/>
                <w:kern w:val="0"/>
                <w:sz w:val="21"/>
                <w:szCs w:val="21"/>
              </w:rPr>
              <w:br w:type="textWrapping"/>
            </w:r>
            <w:r>
              <w:rPr>
                <w:rFonts w:hint="eastAsia" w:ascii="宋体" w:hAnsi="宋体"/>
                <w:color w:val="000000"/>
                <w:kern w:val="0"/>
                <w:sz w:val="21"/>
                <w:szCs w:val="21"/>
              </w:rPr>
              <w:t>出膜时间：3秒</w:t>
            </w:r>
            <w:r>
              <w:rPr>
                <w:rFonts w:hint="eastAsia" w:ascii="宋体" w:hAnsi="宋体"/>
                <w:color w:val="000000"/>
                <w:kern w:val="0"/>
                <w:sz w:val="21"/>
                <w:szCs w:val="21"/>
              </w:rPr>
              <w:br w:type="textWrapping"/>
            </w:r>
            <w:r>
              <w:rPr>
                <w:rFonts w:hint="eastAsia" w:ascii="宋体" w:hAnsi="宋体"/>
                <w:color w:val="000000"/>
                <w:kern w:val="0"/>
                <w:sz w:val="21"/>
                <w:szCs w:val="21"/>
              </w:rPr>
              <w:t>成型时间：3秒、</w:t>
            </w:r>
            <w:r>
              <w:rPr>
                <w:rFonts w:hint="eastAsia" w:ascii="宋体" w:hAnsi="宋体"/>
                <w:color w:val="000000"/>
                <w:kern w:val="0"/>
                <w:sz w:val="21"/>
                <w:szCs w:val="21"/>
              </w:rPr>
              <w:br w:type="textWrapping"/>
            </w:r>
            <w:r>
              <w:rPr>
                <w:rFonts w:hint="eastAsia" w:ascii="宋体" w:hAnsi="宋体"/>
                <w:color w:val="000000"/>
                <w:kern w:val="0"/>
                <w:sz w:val="21"/>
                <w:szCs w:val="21"/>
              </w:rPr>
              <w:t>待机功耗：75w</w:t>
            </w:r>
            <w:r>
              <w:rPr>
                <w:rFonts w:hint="eastAsia" w:ascii="宋体" w:hAnsi="宋体"/>
                <w:color w:val="000000"/>
                <w:kern w:val="0"/>
                <w:sz w:val="21"/>
                <w:szCs w:val="21"/>
              </w:rPr>
              <w:br w:type="textWrapping"/>
            </w:r>
            <w:r>
              <w:rPr>
                <w:rFonts w:hint="eastAsia" w:ascii="宋体" w:hAnsi="宋体"/>
                <w:color w:val="000000"/>
                <w:kern w:val="0"/>
                <w:sz w:val="21"/>
                <w:szCs w:val="21"/>
              </w:rPr>
              <w:t>开机预热时间：60秒</w:t>
            </w:r>
            <w:r>
              <w:rPr>
                <w:rFonts w:hint="eastAsia" w:ascii="宋体" w:hAnsi="宋体"/>
                <w:color w:val="000000"/>
                <w:kern w:val="0"/>
                <w:sz w:val="21"/>
                <w:szCs w:val="21"/>
              </w:rPr>
              <w:br w:type="textWrapping"/>
            </w:r>
            <w:r>
              <w:rPr>
                <w:rFonts w:hint="eastAsia" w:ascii="宋体" w:hAnsi="宋体"/>
                <w:color w:val="000000"/>
                <w:kern w:val="0"/>
                <w:sz w:val="21"/>
                <w:szCs w:val="21"/>
              </w:rPr>
              <w:t>耗材容量：&gt;1100次</w:t>
            </w:r>
            <w:r>
              <w:rPr>
                <w:rFonts w:hint="eastAsia" w:ascii="宋体" w:hAnsi="宋体"/>
                <w:color w:val="000000"/>
                <w:kern w:val="0"/>
                <w:sz w:val="21"/>
                <w:szCs w:val="21"/>
              </w:rPr>
              <w:br w:type="textWrapping"/>
            </w:r>
            <w:r>
              <w:rPr>
                <w:rFonts w:hint="eastAsia" w:ascii="宋体" w:hAnsi="宋体"/>
                <w:color w:val="000000"/>
                <w:kern w:val="0"/>
                <w:sz w:val="21"/>
                <w:szCs w:val="21"/>
              </w:rPr>
              <w:t>设计寿命：&gt;30万次</w:t>
            </w:r>
          </w:p>
        </w:tc>
      </w:tr>
      <w:tr>
        <w:tblPrEx>
          <w:tblCellMar>
            <w:top w:w="0" w:type="dxa"/>
            <w:left w:w="0" w:type="dxa"/>
            <w:bottom w:w="0" w:type="dxa"/>
            <w:right w:w="0" w:type="dxa"/>
          </w:tblCellMar>
        </w:tblPrEx>
        <w:trPr>
          <w:trHeight w:val="90" w:hRule="atLeast"/>
        </w:trPr>
        <w:tc>
          <w:tcPr>
            <w:tcW w:w="71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宋体" w:hAnsi="宋体"/>
                <w:color w:val="000000"/>
                <w:sz w:val="21"/>
                <w:szCs w:val="21"/>
              </w:rPr>
            </w:pPr>
          </w:p>
        </w:tc>
        <w:tc>
          <w:tcPr>
            <w:tcW w:w="43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color w:val="000000"/>
                <w:sz w:val="21"/>
                <w:szCs w:val="21"/>
              </w:rPr>
            </w:pPr>
            <w:r>
              <w:rPr>
                <w:rFonts w:hint="eastAsia" w:ascii="宋体" w:hAnsi="宋体"/>
                <w:color w:val="000000"/>
                <w:kern w:val="0"/>
                <w:sz w:val="21"/>
                <w:szCs w:val="21"/>
              </w:rPr>
              <w:t>22</w:t>
            </w:r>
          </w:p>
        </w:tc>
        <w:tc>
          <w:tcPr>
            <w:tcW w:w="73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color w:val="000000"/>
                <w:sz w:val="21"/>
                <w:szCs w:val="21"/>
              </w:rPr>
            </w:pPr>
            <w:r>
              <w:rPr>
                <w:rFonts w:hint="eastAsia" w:ascii="宋体" w:hAnsi="宋体"/>
                <w:color w:val="000000"/>
                <w:kern w:val="0"/>
                <w:sz w:val="21"/>
                <w:szCs w:val="21"/>
              </w:rPr>
              <w:t>电脑</w:t>
            </w:r>
          </w:p>
        </w:tc>
        <w:tc>
          <w:tcPr>
            <w:tcW w:w="60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color w:val="000000"/>
                <w:sz w:val="21"/>
                <w:szCs w:val="21"/>
              </w:rPr>
            </w:pPr>
            <w:r>
              <w:rPr>
                <w:rFonts w:hint="eastAsia" w:ascii="宋体" w:hAnsi="宋体"/>
                <w:color w:val="000000"/>
                <w:kern w:val="0"/>
                <w:sz w:val="21"/>
                <w:szCs w:val="21"/>
              </w:rPr>
              <w:t>1台</w:t>
            </w:r>
          </w:p>
        </w:tc>
        <w:tc>
          <w:tcPr>
            <w:tcW w:w="743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宋体" w:hAnsi="宋体"/>
                <w:color w:val="000000"/>
                <w:sz w:val="21"/>
                <w:szCs w:val="21"/>
              </w:rPr>
            </w:pPr>
            <w:r>
              <w:rPr>
                <w:rFonts w:hint="eastAsia" w:ascii="宋体" w:hAnsi="宋体"/>
                <w:color w:val="000000"/>
                <w:kern w:val="0"/>
                <w:sz w:val="21"/>
                <w:szCs w:val="21"/>
              </w:rPr>
              <w:t>商用办公台式电脑高端主机16G内存加速无光驱Win10 单主机 I5-9400 8G 1T+16G 集显</w:t>
            </w:r>
            <w:r>
              <w:rPr>
                <w:rFonts w:hint="eastAsia" w:ascii="宋体" w:hAnsi="宋体"/>
                <w:color w:val="000000"/>
                <w:kern w:val="0"/>
                <w:sz w:val="21"/>
                <w:szCs w:val="21"/>
              </w:rPr>
              <w:br w:type="textWrapping"/>
            </w:r>
            <w:r>
              <w:rPr>
                <w:rFonts w:hint="eastAsia" w:ascii="宋体" w:hAnsi="宋体"/>
                <w:color w:val="000000"/>
                <w:kern w:val="0"/>
                <w:sz w:val="21"/>
                <w:szCs w:val="21"/>
              </w:rPr>
              <w:t>内存容量：8G</w:t>
            </w:r>
            <w:r>
              <w:rPr>
                <w:rFonts w:hint="eastAsia" w:ascii="宋体" w:hAnsi="宋体"/>
                <w:color w:val="000000"/>
                <w:kern w:val="0"/>
                <w:sz w:val="21"/>
                <w:szCs w:val="21"/>
              </w:rPr>
              <w:br w:type="textWrapping"/>
            </w:r>
            <w:r>
              <w:rPr>
                <w:rFonts w:hint="eastAsia" w:ascii="宋体" w:hAnsi="宋体"/>
                <w:color w:val="000000"/>
                <w:kern w:val="0"/>
                <w:sz w:val="21"/>
                <w:szCs w:val="21"/>
              </w:rPr>
              <w:t>显卡：集成显卡</w:t>
            </w:r>
            <w:r>
              <w:rPr>
                <w:rFonts w:hint="eastAsia" w:ascii="宋体" w:hAnsi="宋体"/>
                <w:color w:val="000000"/>
                <w:kern w:val="0"/>
                <w:sz w:val="21"/>
                <w:szCs w:val="21"/>
              </w:rPr>
              <w:br w:type="textWrapping"/>
            </w:r>
            <w:r>
              <w:rPr>
                <w:rFonts w:hint="eastAsia" w:ascii="宋体" w:hAnsi="宋体"/>
                <w:color w:val="000000"/>
                <w:kern w:val="0"/>
                <w:sz w:val="21"/>
                <w:szCs w:val="21"/>
              </w:rPr>
              <w:t>硬盘容量：1TB HDD</w:t>
            </w:r>
            <w:r>
              <w:rPr>
                <w:rFonts w:hint="eastAsia" w:ascii="宋体" w:hAnsi="宋体"/>
                <w:color w:val="000000"/>
                <w:kern w:val="0"/>
                <w:sz w:val="21"/>
                <w:szCs w:val="21"/>
              </w:rPr>
              <w:br w:type="textWrapping"/>
            </w:r>
            <w:r>
              <w:rPr>
                <w:rFonts w:hint="eastAsia" w:ascii="宋体" w:hAnsi="宋体"/>
                <w:color w:val="000000"/>
                <w:kern w:val="0"/>
                <w:sz w:val="21"/>
                <w:szCs w:val="21"/>
              </w:rPr>
              <w:t>电脑形态：主机+显示器</w:t>
            </w:r>
            <w:r>
              <w:rPr>
                <w:rFonts w:hint="eastAsia" w:ascii="宋体" w:hAnsi="宋体"/>
                <w:color w:val="000000"/>
                <w:kern w:val="0"/>
                <w:sz w:val="21"/>
                <w:szCs w:val="21"/>
              </w:rPr>
              <w:br w:type="textWrapping"/>
            </w:r>
            <w:r>
              <w:rPr>
                <w:rFonts w:hint="eastAsia" w:ascii="宋体" w:hAnsi="宋体"/>
                <w:color w:val="000000"/>
                <w:kern w:val="0"/>
                <w:sz w:val="21"/>
                <w:szCs w:val="21"/>
              </w:rPr>
              <w:t>处理器：Intel i5</w:t>
            </w:r>
            <w:r>
              <w:rPr>
                <w:rFonts w:hint="eastAsia" w:ascii="宋体" w:hAnsi="宋体"/>
                <w:color w:val="000000"/>
                <w:kern w:val="0"/>
                <w:sz w:val="21"/>
                <w:szCs w:val="21"/>
              </w:rPr>
              <w:br w:type="textWrapping"/>
            </w:r>
            <w:r>
              <w:rPr>
                <w:rFonts w:hint="eastAsia" w:ascii="宋体" w:hAnsi="宋体"/>
                <w:color w:val="000000"/>
                <w:kern w:val="0"/>
                <w:sz w:val="21"/>
                <w:szCs w:val="21"/>
              </w:rPr>
              <w:t>用途：商用办公</w:t>
            </w:r>
            <w:r>
              <w:rPr>
                <w:rFonts w:hint="eastAsia" w:ascii="宋体" w:hAnsi="宋体"/>
                <w:color w:val="000000"/>
                <w:kern w:val="0"/>
                <w:sz w:val="21"/>
                <w:szCs w:val="21"/>
              </w:rPr>
              <w:br w:type="textWrapping"/>
            </w:r>
            <w:r>
              <w:rPr>
                <w:rFonts w:hint="eastAsia" w:ascii="宋体" w:hAnsi="宋体"/>
                <w:color w:val="000000"/>
                <w:kern w:val="0"/>
                <w:sz w:val="21"/>
                <w:szCs w:val="21"/>
              </w:rPr>
              <w:t>系统：Windows 10</w:t>
            </w:r>
            <w:r>
              <w:rPr>
                <w:rFonts w:hint="eastAsia" w:ascii="宋体" w:hAnsi="宋体"/>
                <w:color w:val="000000"/>
                <w:kern w:val="0"/>
                <w:sz w:val="21"/>
                <w:szCs w:val="21"/>
              </w:rPr>
              <w:br w:type="textWrapping"/>
            </w:r>
            <w:r>
              <w:rPr>
                <w:rFonts w:hint="eastAsia" w:ascii="宋体" w:hAnsi="宋体"/>
                <w:color w:val="000000"/>
                <w:kern w:val="0"/>
                <w:sz w:val="21"/>
                <w:szCs w:val="21"/>
              </w:rPr>
              <w:t>机箱大小：10L-20L</w:t>
            </w:r>
          </w:p>
        </w:tc>
      </w:tr>
      <w:tr>
        <w:tblPrEx>
          <w:tblCellMar>
            <w:top w:w="0" w:type="dxa"/>
            <w:left w:w="0" w:type="dxa"/>
            <w:bottom w:w="0" w:type="dxa"/>
            <w:right w:w="0" w:type="dxa"/>
          </w:tblCellMar>
        </w:tblPrEx>
        <w:trPr>
          <w:trHeight w:val="595" w:hRule="atLeast"/>
        </w:trPr>
        <w:tc>
          <w:tcPr>
            <w:tcW w:w="71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宋体" w:hAnsi="宋体"/>
                <w:color w:val="000000"/>
                <w:sz w:val="21"/>
                <w:szCs w:val="21"/>
              </w:rPr>
            </w:pPr>
          </w:p>
        </w:tc>
        <w:tc>
          <w:tcPr>
            <w:tcW w:w="43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color w:val="000000"/>
                <w:sz w:val="21"/>
                <w:szCs w:val="21"/>
              </w:rPr>
            </w:pPr>
            <w:r>
              <w:rPr>
                <w:rFonts w:hint="eastAsia" w:ascii="宋体" w:hAnsi="宋体"/>
                <w:color w:val="000000"/>
                <w:kern w:val="0"/>
                <w:sz w:val="21"/>
                <w:szCs w:val="21"/>
              </w:rPr>
              <w:t>23</w:t>
            </w:r>
          </w:p>
        </w:tc>
        <w:tc>
          <w:tcPr>
            <w:tcW w:w="73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color w:val="000000"/>
                <w:sz w:val="21"/>
                <w:szCs w:val="21"/>
              </w:rPr>
            </w:pPr>
            <w:r>
              <w:rPr>
                <w:rFonts w:hint="eastAsia" w:ascii="宋体" w:hAnsi="宋体"/>
                <w:color w:val="000000"/>
                <w:kern w:val="0"/>
                <w:sz w:val="21"/>
                <w:szCs w:val="21"/>
              </w:rPr>
              <w:t>打印机</w:t>
            </w:r>
          </w:p>
        </w:tc>
        <w:tc>
          <w:tcPr>
            <w:tcW w:w="60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color w:val="000000"/>
                <w:sz w:val="21"/>
                <w:szCs w:val="21"/>
              </w:rPr>
            </w:pPr>
            <w:r>
              <w:rPr>
                <w:rFonts w:hint="eastAsia" w:ascii="宋体" w:hAnsi="宋体"/>
                <w:color w:val="000000"/>
                <w:kern w:val="0"/>
                <w:sz w:val="21"/>
                <w:szCs w:val="21"/>
              </w:rPr>
              <w:t>1台</w:t>
            </w:r>
          </w:p>
        </w:tc>
        <w:tc>
          <w:tcPr>
            <w:tcW w:w="743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宋体" w:hAnsi="宋体"/>
                <w:color w:val="000000"/>
                <w:sz w:val="21"/>
                <w:szCs w:val="21"/>
              </w:rPr>
            </w:pPr>
            <w:r>
              <w:rPr>
                <w:rFonts w:hint="eastAsia" w:ascii="宋体" w:hAnsi="宋体"/>
                <w:color w:val="000000"/>
                <w:kern w:val="0"/>
                <w:sz w:val="21"/>
                <w:szCs w:val="21"/>
              </w:rPr>
              <w:t xml:space="preserve">产品类型 黑白激光一体机 </w:t>
            </w:r>
            <w:r>
              <w:rPr>
                <w:rFonts w:hint="eastAsia" w:ascii="宋体" w:hAnsi="宋体"/>
                <w:color w:val="000000"/>
                <w:kern w:val="0"/>
                <w:sz w:val="21"/>
                <w:szCs w:val="21"/>
              </w:rPr>
              <w:br w:type="textWrapping"/>
            </w:r>
            <w:r>
              <w:rPr>
                <w:rFonts w:hint="eastAsia" w:ascii="宋体" w:hAnsi="宋体"/>
                <w:color w:val="000000"/>
                <w:kern w:val="0"/>
                <w:sz w:val="21"/>
                <w:szCs w:val="21"/>
              </w:rPr>
              <w:t xml:space="preserve">双面打印 手动双面打印 </w:t>
            </w:r>
            <w:r>
              <w:rPr>
                <w:rFonts w:hint="eastAsia" w:ascii="宋体" w:hAnsi="宋体"/>
                <w:color w:val="000000"/>
                <w:kern w:val="0"/>
                <w:sz w:val="21"/>
                <w:szCs w:val="21"/>
              </w:rPr>
              <w:br w:type="textWrapping"/>
            </w:r>
            <w:r>
              <w:rPr>
                <w:rFonts w:hint="eastAsia" w:ascii="宋体" w:hAnsi="宋体"/>
                <w:color w:val="000000"/>
                <w:kern w:val="0"/>
                <w:sz w:val="21"/>
                <w:szCs w:val="21"/>
              </w:rPr>
              <w:t xml:space="preserve">最大处理幅面 A4 </w:t>
            </w:r>
            <w:r>
              <w:rPr>
                <w:rFonts w:hint="eastAsia" w:ascii="宋体" w:hAnsi="宋体"/>
                <w:color w:val="000000"/>
                <w:kern w:val="0"/>
                <w:sz w:val="21"/>
                <w:szCs w:val="21"/>
              </w:rPr>
              <w:br w:type="textWrapping"/>
            </w:r>
            <w:r>
              <w:rPr>
                <w:rFonts w:hint="eastAsia" w:ascii="宋体" w:hAnsi="宋体"/>
                <w:color w:val="000000"/>
                <w:kern w:val="0"/>
                <w:sz w:val="21"/>
                <w:szCs w:val="21"/>
              </w:rPr>
              <w:t xml:space="preserve">涵盖功能 打印/复印/扫描 </w:t>
            </w:r>
            <w:r>
              <w:rPr>
                <w:rFonts w:hint="eastAsia" w:ascii="宋体" w:hAnsi="宋体"/>
                <w:color w:val="000000"/>
                <w:kern w:val="0"/>
                <w:sz w:val="21"/>
                <w:szCs w:val="21"/>
              </w:rPr>
              <w:br w:type="textWrapping"/>
            </w:r>
            <w:r>
              <w:rPr>
                <w:rFonts w:hint="eastAsia" w:ascii="宋体" w:hAnsi="宋体"/>
                <w:color w:val="000000"/>
                <w:kern w:val="0"/>
                <w:sz w:val="21"/>
                <w:szCs w:val="21"/>
              </w:rPr>
              <w:t xml:space="preserve">最大原稿尺寸 A4 </w:t>
            </w:r>
            <w:r>
              <w:rPr>
                <w:rFonts w:hint="eastAsia" w:ascii="宋体" w:hAnsi="宋体"/>
                <w:color w:val="000000"/>
                <w:kern w:val="0"/>
                <w:sz w:val="21"/>
                <w:szCs w:val="21"/>
              </w:rPr>
              <w:br w:type="textWrapping"/>
            </w:r>
            <w:r>
              <w:rPr>
                <w:rFonts w:hint="eastAsia" w:ascii="宋体" w:hAnsi="宋体"/>
                <w:color w:val="000000"/>
                <w:kern w:val="0"/>
                <w:sz w:val="21"/>
                <w:szCs w:val="21"/>
              </w:rPr>
              <w:t xml:space="preserve">进纸盒容量 250张(纸盒)+1张(手动) </w:t>
            </w:r>
            <w:r>
              <w:rPr>
                <w:rFonts w:hint="eastAsia" w:ascii="宋体" w:hAnsi="宋体"/>
                <w:color w:val="000000"/>
                <w:kern w:val="0"/>
                <w:sz w:val="21"/>
                <w:szCs w:val="21"/>
              </w:rPr>
              <w:br w:type="textWrapping"/>
            </w:r>
            <w:r>
              <w:rPr>
                <w:rFonts w:hint="eastAsia" w:ascii="宋体" w:hAnsi="宋体"/>
                <w:color w:val="000000"/>
                <w:kern w:val="0"/>
                <w:sz w:val="21"/>
                <w:szCs w:val="21"/>
              </w:rPr>
              <w:t xml:space="preserve">出纸盒容量 100张 </w:t>
            </w:r>
            <w:r>
              <w:rPr>
                <w:rFonts w:hint="eastAsia" w:ascii="宋体" w:hAnsi="宋体"/>
                <w:color w:val="000000"/>
                <w:kern w:val="0"/>
                <w:sz w:val="21"/>
                <w:szCs w:val="21"/>
              </w:rPr>
              <w:br w:type="textWrapping"/>
            </w:r>
            <w:r>
              <w:rPr>
                <w:rFonts w:hint="eastAsia" w:ascii="宋体" w:hAnsi="宋体"/>
                <w:color w:val="000000"/>
                <w:kern w:val="0"/>
                <w:sz w:val="21"/>
                <w:szCs w:val="21"/>
              </w:rPr>
              <w:t xml:space="preserve">介质类型 普通纸,厚纸,铜版纸,再生纸,信封,纸标签 </w:t>
            </w:r>
            <w:r>
              <w:rPr>
                <w:rFonts w:hint="eastAsia" w:ascii="宋体" w:hAnsi="宋体"/>
                <w:color w:val="000000"/>
                <w:kern w:val="0"/>
                <w:sz w:val="21"/>
                <w:szCs w:val="21"/>
              </w:rPr>
              <w:br w:type="textWrapping"/>
            </w:r>
            <w:r>
              <w:rPr>
                <w:rFonts w:hint="eastAsia" w:ascii="宋体" w:hAnsi="宋体"/>
                <w:color w:val="000000"/>
                <w:kern w:val="0"/>
                <w:sz w:val="21"/>
                <w:szCs w:val="21"/>
              </w:rPr>
              <w:t xml:space="preserve">介质尺寸 A4,Letter,B5(ISO/JIS),A5,A5(Long Edge),B6(ISO),A6,Executive,16K </w:t>
            </w:r>
            <w:r>
              <w:rPr>
                <w:rFonts w:hint="eastAsia" w:ascii="宋体" w:hAnsi="宋体"/>
                <w:color w:val="000000"/>
                <w:kern w:val="0"/>
                <w:sz w:val="21"/>
                <w:szCs w:val="21"/>
              </w:rPr>
              <w:br w:type="textWrapping"/>
            </w:r>
            <w:r>
              <w:rPr>
                <w:rFonts w:hint="eastAsia" w:ascii="宋体" w:hAnsi="宋体"/>
                <w:color w:val="000000"/>
                <w:kern w:val="0"/>
                <w:sz w:val="21"/>
                <w:szCs w:val="21"/>
              </w:rPr>
              <w:t xml:space="preserve">介质重量 标准:60－105g/㎡ , 手动:60－163g/㎡ </w:t>
            </w:r>
            <w:r>
              <w:rPr>
                <w:rFonts w:hint="eastAsia" w:ascii="宋体" w:hAnsi="宋体"/>
                <w:color w:val="000000"/>
                <w:kern w:val="0"/>
                <w:sz w:val="21"/>
                <w:szCs w:val="21"/>
              </w:rPr>
              <w:br w:type="textWrapping"/>
            </w:r>
            <w:r>
              <w:rPr>
                <w:rFonts w:hint="eastAsia" w:ascii="宋体" w:hAnsi="宋体"/>
                <w:color w:val="000000"/>
                <w:kern w:val="0"/>
                <w:sz w:val="21"/>
                <w:szCs w:val="21"/>
              </w:rPr>
              <w:t xml:space="preserve">接口类型 USB 2.0接口 </w:t>
            </w:r>
            <w:r>
              <w:rPr>
                <w:rFonts w:hint="eastAsia" w:ascii="宋体" w:hAnsi="宋体"/>
                <w:color w:val="000000"/>
                <w:kern w:val="0"/>
                <w:sz w:val="21"/>
                <w:szCs w:val="21"/>
              </w:rPr>
              <w:br w:type="textWrapping"/>
            </w:r>
            <w:r>
              <w:rPr>
                <w:rFonts w:hint="eastAsia" w:ascii="宋体" w:hAnsi="宋体"/>
                <w:color w:val="000000"/>
                <w:kern w:val="0"/>
                <w:sz w:val="21"/>
                <w:szCs w:val="21"/>
              </w:rPr>
              <w:t xml:space="preserve">处理器 266MHz </w:t>
            </w:r>
            <w:r>
              <w:rPr>
                <w:rFonts w:hint="eastAsia" w:ascii="宋体" w:hAnsi="宋体"/>
                <w:color w:val="000000"/>
                <w:kern w:val="0"/>
                <w:sz w:val="21"/>
                <w:szCs w:val="21"/>
              </w:rPr>
              <w:br w:type="textWrapping"/>
            </w:r>
            <w:r>
              <w:rPr>
                <w:rFonts w:hint="eastAsia" w:ascii="宋体" w:hAnsi="宋体"/>
                <w:color w:val="000000"/>
                <w:kern w:val="0"/>
                <w:sz w:val="21"/>
                <w:szCs w:val="21"/>
              </w:rPr>
              <w:t xml:space="preserve">内存大小 32MB </w:t>
            </w:r>
            <w:r>
              <w:rPr>
                <w:rFonts w:hint="eastAsia" w:ascii="宋体" w:hAnsi="宋体"/>
                <w:color w:val="000000"/>
                <w:kern w:val="0"/>
                <w:sz w:val="21"/>
                <w:szCs w:val="21"/>
              </w:rPr>
              <w:br w:type="textWrapping"/>
            </w:r>
            <w:r>
              <w:rPr>
                <w:rFonts w:hint="eastAsia" w:ascii="宋体" w:hAnsi="宋体"/>
                <w:color w:val="000000"/>
                <w:kern w:val="0"/>
                <w:sz w:val="21"/>
                <w:szCs w:val="21"/>
              </w:rPr>
              <w:t xml:space="preserve">操作面板 10字符×2行 中文液晶显示 </w:t>
            </w:r>
            <w:r>
              <w:rPr>
                <w:rFonts w:hint="eastAsia" w:ascii="宋体" w:hAnsi="宋体"/>
                <w:color w:val="000000"/>
                <w:kern w:val="0"/>
                <w:sz w:val="21"/>
                <w:szCs w:val="21"/>
              </w:rPr>
              <w:br w:type="textWrapping"/>
            </w:r>
            <w:r>
              <w:rPr>
                <w:rFonts w:hint="eastAsia" w:ascii="宋体" w:hAnsi="宋体"/>
                <w:color w:val="000000"/>
                <w:kern w:val="0"/>
                <w:sz w:val="21"/>
                <w:szCs w:val="21"/>
              </w:rPr>
              <w:t xml:space="preserve">打印参数:打印速度 28页/分钟 </w:t>
            </w:r>
            <w:r>
              <w:rPr>
                <w:rFonts w:hint="eastAsia" w:ascii="宋体" w:hAnsi="宋体"/>
                <w:color w:val="000000"/>
                <w:kern w:val="0"/>
                <w:sz w:val="21"/>
                <w:szCs w:val="21"/>
              </w:rPr>
              <w:br w:type="textWrapping"/>
            </w:r>
            <w:r>
              <w:rPr>
                <w:rFonts w:hint="eastAsia" w:ascii="宋体" w:hAnsi="宋体"/>
                <w:color w:val="000000"/>
                <w:kern w:val="0"/>
                <w:sz w:val="21"/>
                <w:szCs w:val="21"/>
              </w:rPr>
              <w:t xml:space="preserve">打印分辨率 HQ1200,600×600dpi </w:t>
            </w:r>
            <w:r>
              <w:rPr>
                <w:rFonts w:hint="eastAsia" w:ascii="宋体" w:hAnsi="宋体"/>
                <w:color w:val="000000"/>
                <w:kern w:val="0"/>
                <w:sz w:val="21"/>
                <w:szCs w:val="21"/>
              </w:rPr>
              <w:br w:type="textWrapping"/>
            </w:r>
            <w:r>
              <w:rPr>
                <w:rFonts w:hint="eastAsia" w:ascii="宋体" w:hAnsi="宋体"/>
                <w:color w:val="000000"/>
                <w:kern w:val="0"/>
                <w:sz w:val="21"/>
                <w:szCs w:val="21"/>
              </w:rPr>
              <w:t xml:space="preserve">打印机语言 GDI </w:t>
            </w:r>
            <w:r>
              <w:rPr>
                <w:rFonts w:hint="eastAsia" w:ascii="宋体" w:hAnsi="宋体"/>
                <w:color w:val="000000"/>
                <w:kern w:val="0"/>
                <w:sz w:val="21"/>
                <w:szCs w:val="21"/>
              </w:rPr>
              <w:br w:type="textWrapping"/>
            </w:r>
            <w:r>
              <w:rPr>
                <w:rFonts w:hint="eastAsia" w:ascii="宋体" w:hAnsi="宋体"/>
                <w:color w:val="000000"/>
                <w:kern w:val="0"/>
                <w:sz w:val="21"/>
                <w:szCs w:val="21"/>
              </w:rPr>
              <w:t xml:space="preserve">首页打印时间 &lt;8.5 秒 </w:t>
            </w:r>
            <w:r>
              <w:rPr>
                <w:rFonts w:hint="eastAsia" w:ascii="宋体" w:hAnsi="宋体"/>
                <w:color w:val="000000"/>
                <w:kern w:val="0"/>
                <w:sz w:val="21"/>
                <w:szCs w:val="21"/>
              </w:rPr>
              <w:br w:type="textWrapping"/>
            </w:r>
            <w:r>
              <w:rPr>
                <w:rFonts w:hint="eastAsia" w:ascii="宋体" w:hAnsi="宋体"/>
                <w:color w:val="000000"/>
                <w:kern w:val="0"/>
                <w:sz w:val="21"/>
                <w:szCs w:val="21"/>
              </w:rPr>
              <w:t xml:space="preserve">复印参数:复印速度 28页/分钟 </w:t>
            </w:r>
            <w:r>
              <w:rPr>
                <w:rFonts w:hint="eastAsia" w:ascii="宋体" w:hAnsi="宋体"/>
                <w:color w:val="000000"/>
                <w:kern w:val="0"/>
                <w:sz w:val="21"/>
                <w:szCs w:val="21"/>
              </w:rPr>
              <w:br w:type="textWrapping"/>
            </w:r>
            <w:r>
              <w:rPr>
                <w:rFonts w:hint="eastAsia" w:ascii="宋体" w:hAnsi="宋体"/>
                <w:color w:val="000000"/>
                <w:kern w:val="0"/>
                <w:sz w:val="21"/>
                <w:szCs w:val="21"/>
              </w:rPr>
              <w:t xml:space="preserve">复印分辨率 600×600dpi </w:t>
            </w:r>
            <w:r>
              <w:rPr>
                <w:rFonts w:hint="eastAsia" w:ascii="宋体" w:hAnsi="宋体"/>
                <w:color w:val="000000"/>
                <w:kern w:val="0"/>
                <w:sz w:val="21"/>
                <w:szCs w:val="21"/>
              </w:rPr>
              <w:br w:type="textWrapping"/>
            </w:r>
            <w:r>
              <w:rPr>
                <w:rFonts w:hint="eastAsia" w:ascii="宋体" w:hAnsi="宋体"/>
                <w:color w:val="000000"/>
                <w:kern w:val="0"/>
                <w:sz w:val="21"/>
                <w:szCs w:val="21"/>
              </w:rPr>
              <w:t xml:space="preserve">连续复印 1-99页 </w:t>
            </w:r>
            <w:r>
              <w:rPr>
                <w:rFonts w:hint="eastAsia" w:ascii="宋体" w:hAnsi="宋体"/>
                <w:color w:val="000000"/>
                <w:kern w:val="0"/>
                <w:sz w:val="21"/>
                <w:szCs w:val="21"/>
              </w:rPr>
              <w:br w:type="textWrapping"/>
            </w:r>
            <w:r>
              <w:rPr>
                <w:rFonts w:hint="eastAsia" w:ascii="宋体" w:hAnsi="宋体"/>
                <w:color w:val="000000"/>
                <w:kern w:val="0"/>
                <w:sz w:val="21"/>
                <w:szCs w:val="21"/>
              </w:rPr>
              <w:t xml:space="preserve">复印缩放 25%-400% </w:t>
            </w:r>
            <w:r>
              <w:rPr>
                <w:rFonts w:hint="eastAsia" w:ascii="宋体" w:hAnsi="宋体"/>
                <w:color w:val="000000"/>
                <w:kern w:val="0"/>
                <w:sz w:val="21"/>
                <w:szCs w:val="21"/>
              </w:rPr>
              <w:br w:type="textWrapping"/>
            </w:r>
            <w:r>
              <w:rPr>
                <w:rFonts w:hint="eastAsia" w:ascii="宋体" w:hAnsi="宋体"/>
                <w:color w:val="000000"/>
                <w:kern w:val="0"/>
                <w:sz w:val="21"/>
                <w:szCs w:val="21"/>
              </w:rPr>
              <w:t xml:space="preserve">首页复印时间 &lt;10秒  </w:t>
            </w:r>
            <w:r>
              <w:rPr>
                <w:rFonts w:hint="eastAsia" w:ascii="宋体" w:hAnsi="宋体"/>
                <w:color w:val="000000"/>
                <w:kern w:val="0"/>
                <w:sz w:val="21"/>
                <w:szCs w:val="21"/>
              </w:rPr>
              <w:br w:type="textWrapping"/>
            </w:r>
            <w:r>
              <w:rPr>
                <w:rFonts w:hint="eastAsia" w:ascii="宋体" w:hAnsi="宋体"/>
                <w:color w:val="000000"/>
                <w:kern w:val="0"/>
                <w:sz w:val="21"/>
                <w:szCs w:val="21"/>
              </w:rPr>
              <w:t xml:space="preserve">扫描参数   </w:t>
            </w:r>
            <w:r>
              <w:rPr>
                <w:rFonts w:hint="eastAsia" w:ascii="宋体" w:hAnsi="宋体"/>
                <w:color w:val="000000"/>
                <w:kern w:val="0"/>
                <w:sz w:val="21"/>
                <w:szCs w:val="21"/>
              </w:rPr>
              <w:br w:type="textWrapping"/>
            </w:r>
            <w:r>
              <w:rPr>
                <w:rFonts w:hint="eastAsia" w:ascii="宋体" w:hAnsi="宋体"/>
                <w:color w:val="000000"/>
                <w:kern w:val="0"/>
                <w:sz w:val="21"/>
                <w:szCs w:val="21"/>
              </w:rPr>
              <w:t xml:space="preserve">扫描元件 CIS </w:t>
            </w:r>
            <w:r>
              <w:rPr>
                <w:rFonts w:hint="eastAsia" w:ascii="宋体" w:hAnsi="宋体"/>
                <w:color w:val="000000"/>
                <w:kern w:val="0"/>
                <w:sz w:val="21"/>
                <w:szCs w:val="21"/>
              </w:rPr>
              <w:br w:type="textWrapping"/>
            </w:r>
            <w:r>
              <w:rPr>
                <w:rFonts w:hint="eastAsia" w:ascii="宋体" w:hAnsi="宋体"/>
                <w:color w:val="000000"/>
                <w:kern w:val="0"/>
                <w:sz w:val="21"/>
                <w:szCs w:val="21"/>
              </w:rPr>
              <w:t xml:space="preserve">扫描分辨率 光学分辨率:600*2400dpi,最大分辨率:19200×19200dpi </w:t>
            </w:r>
            <w:r>
              <w:rPr>
                <w:rFonts w:hint="eastAsia" w:ascii="宋体" w:hAnsi="宋体"/>
                <w:color w:val="000000"/>
                <w:kern w:val="0"/>
                <w:sz w:val="21"/>
                <w:szCs w:val="21"/>
              </w:rPr>
              <w:br w:type="textWrapping"/>
            </w:r>
            <w:r>
              <w:rPr>
                <w:rFonts w:hint="eastAsia" w:ascii="宋体" w:hAnsi="宋体"/>
                <w:color w:val="000000"/>
                <w:kern w:val="0"/>
                <w:sz w:val="21"/>
                <w:szCs w:val="21"/>
              </w:rPr>
              <w:t xml:space="preserve">外观参数   </w:t>
            </w:r>
            <w:r>
              <w:rPr>
                <w:rFonts w:hint="eastAsia" w:ascii="宋体" w:hAnsi="宋体"/>
                <w:color w:val="000000"/>
                <w:kern w:val="0"/>
                <w:sz w:val="21"/>
                <w:szCs w:val="21"/>
              </w:rPr>
              <w:br w:type="textWrapping"/>
            </w:r>
            <w:r>
              <w:rPr>
                <w:rFonts w:hint="eastAsia" w:ascii="宋体" w:hAnsi="宋体"/>
                <w:color w:val="000000"/>
                <w:kern w:val="0"/>
                <w:sz w:val="21"/>
                <w:szCs w:val="21"/>
              </w:rPr>
              <w:t xml:space="preserve">尺寸 409×398.5×267 mm </w:t>
            </w:r>
          </w:p>
        </w:tc>
      </w:tr>
      <w:tr>
        <w:tblPrEx>
          <w:tblCellMar>
            <w:top w:w="0" w:type="dxa"/>
            <w:left w:w="0" w:type="dxa"/>
            <w:bottom w:w="0" w:type="dxa"/>
            <w:right w:w="0" w:type="dxa"/>
          </w:tblCellMar>
        </w:tblPrEx>
        <w:trPr>
          <w:trHeight w:val="1335" w:hRule="atLeast"/>
        </w:trPr>
        <w:tc>
          <w:tcPr>
            <w:tcW w:w="71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宋体" w:hAnsi="宋体"/>
                <w:color w:val="000000"/>
                <w:sz w:val="21"/>
                <w:szCs w:val="21"/>
              </w:rPr>
            </w:pPr>
          </w:p>
        </w:tc>
        <w:tc>
          <w:tcPr>
            <w:tcW w:w="43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color w:val="000000"/>
                <w:kern w:val="0"/>
                <w:sz w:val="21"/>
                <w:szCs w:val="21"/>
              </w:rPr>
            </w:pPr>
            <w:r>
              <w:rPr>
                <w:rFonts w:hint="eastAsia" w:ascii="宋体" w:hAnsi="宋体"/>
                <w:color w:val="000000"/>
                <w:kern w:val="0"/>
                <w:sz w:val="21"/>
                <w:szCs w:val="21"/>
              </w:rPr>
              <w:t>24</w:t>
            </w:r>
          </w:p>
        </w:tc>
        <w:tc>
          <w:tcPr>
            <w:tcW w:w="7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olor w:val="000000"/>
                <w:kern w:val="0"/>
                <w:sz w:val="21"/>
                <w:szCs w:val="21"/>
              </w:rPr>
            </w:pPr>
            <w:r>
              <w:rPr>
                <w:rFonts w:hint="eastAsia" w:ascii="宋体" w:hAnsi="宋体"/>
                <w:color w:val="000000"/>
                <w:kern w:val="0"/>
                <w:sz w:val="21"/>
                <w:szCs w:val="21"/>
              </w:rPr>
              <w:t>全自动烘干</w:t>
            </w:r>
            <w:r>
              <w:rPr>
                <w:rFonts w:hint="eastAsia" w:ascii="宋体" w:hAnsi="宋体"/>
                <w:color w:val="000000"/>
                <w:kern w:val="0"/>
                <w:sz w:val="21"/>
                <w:szCs w:val="21"/>
              </w:rPr>
              <w:br w:type="textWrapping"/>
            </w:r>
            <w:r>
              <w:rPr>
                <w:rFonts w:hint="eastAsia" w:ascii="宋体" w:hAnsi="宋体"/>
                <w:color w:val="000000"/>
                <w:kern w:val="0"/>
                <w:sz w:val="21"/>
                <w:szCs w:val="21"/>
              </w:rPr>
              <w:t>洗衣机</w:t>
            </w:r>
          </w:p>
        </w:tc>
        <w:tc>
          <w:tcPr>
            <w:tcW w:w="60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color w:val="000000"/>
                <w:kern w:val="0"/>
                <w:sz w:val="21"/>
                <w:szCs w:val="21"/>
              </w:rPr>
            </w:pPr>
            <w:r>
              <w:rPr>
                <w:rFonts w:hint="eastAsia" w:ascii="宋体" w:hAnsi="宋体"/>
                <w:color w:val="000000"/>
                <w:kern w:val="0"/>
                <w:sz w:val="21"/>
                <w:szCs w:val="21"/>
              </w:rPr>
              <w:t>1台</w:t>
            </w:r>
          </w:p>
        </w:tc>
        <w:tc>
          <w:tcPr>
            <w:tcW w:w="743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宋体" w:hAnsi="宋体"/>
                <w:color w:val="000000"/>
                <w:kern w:val="0"/>
                <w:sz w:val="21"/>
                <w:szCs w:val="21"/>
              </w:rPr>
            </w:pPr>
            <w:r>
              <w:rPr>
                <w:rFonts w:hint="eastAsia" w:ascii="宋体" w:hAnsi="宋体"/>
                <w:color w:val="000000"/>
                <w:kern w:val="0"/>
                <w:sz w:val="21"/>
                <w:szCs w:val="21"/>
              </w:rPr>
              <w:t xml:space="preserve">颜色 水晶银 </w:t>
            </w:r>
            <w:r>
              <w:rPr>
                <w:rFonts w:hint="eastAsia" w:ascii="宋体" w:hAnsi="宋体"/>
                <w:color w:val="000000"/>
                <w:kern w:val="0"/>
                <w:sz w:val="21"/>
                <w:szCs w:val="21"/>
              </w:rPr>
              <w:br w:type="textWrapping"/>
            </w:r>
            <w:r>
              <w:rPr>
                <w:rFonts w:hint="eastAsia" w:ascii="宋体" w:hAnsi="宋体"/>
                <w:color w:val="000000"/>
                <w:kern w:val="0"/>
                <w:sz w:val="21"/>
                <w:szCs w:val="21"/>
              </w:rPr>
              <w:t xml:space="preserve">产品类型 洗干一体机 </w:t>
            </w:r>
            <w:r>
              <w:rPr>
                <w:rFonts w:hint="eastAsia" w:ascii="宋体" w:hAnsi="宋体"/>
                <w:color w:val="000000"/>
                <w:kern w:val="0"/>
                <w:sz w:val="21"/>
                <w:szCs w:val="21"/>
              </w:rPr>
              <w:br w:type="textWrapping"/>
            </w:r>
            <w:r>
              <w:rPr>
                <w:rFonts w:hint="eastAsia" w:ascii="宋体" w:hAnsi="宋体"/>
                <w:color w:val="000000"/>
                <w:kern w:val="0"/>
                <w:sz w:val="21"/>
                <w:szCs w:val="21"/>
              </w:rPr>
              <w:t xml:space="preserve">自动化程度 全自动 </w:t>
            </w:r>
            <w:r>
              <w:rPr>
                <w:rFonts w:hint="eastAsia" w:ascii="宋体" w:hAnsi="宋体"/>
                <w:color w:val="000000"/>
                <w:kern w:val="0"/>
                <w:sz w:val="21"/>
                <w:szCs w:val="21"/>
              </w:rPr>
              <w:br w:type="textWrapping"/>
            </w:r>
            <w:r>
              <w:rPr>
                <w:rFonts w:hint="eastAsia" w:ascii="宋体" w:hAnsi="宋体"/>
                <w:color w:val="000000"/>
                <w:kern w:val="0"/>
                <w:sz w:val="21"/>
                <w:szCs w:val="21"/>
              </w:rPr>
              <w:t xml:space="preserve">控制方式 电脑式 </w:t>
            </w:r>
            <w:r>
              <w:rPr>
                <w:rFonts w:hint="eastAsia" w:ascii="宋体" w:hAnsi="宋体"/>
                <w:color w:val="000000"/>
                <w:kern w:val="0"/>
                <w:sz w:val="21"/>
                <w:szCs w:val="21"/>
              </w:rPr>
              <w:br w:type="textWrapping"/>
            </w:r>
            <w:r>
              <w:rPr>
                <w:rFonts w:hint="eastAsia" w:ascii="宋体" w:hAnsi="宋体"/>
                <w:color w:val="000000"/>
                <w:kern w:val="0"/>
                <w:sz w:val="21"/>
                <w:szCs w:val="21"/>
              </w:rPr>
              <w:t xml:space="preserve">开门方式 前开式 </w:t>
            </w:r>
            <w:r>
              <w:rPr>
                <w:rFonts w:hint="eastAsia" w:ascii="宋体" w:hAnsi="宋体"/>
                <w:color w:val="000000"/>
                <w:kern w:val="0"/>
                <w:sz w:val="21"/>
                <w:szCs w:val="21"/>
              </w:rPr>
              <w:br w:type="textWrapping"/>
            </w:r>
            <w:r>
              <w:rPr>
                <w:rFonts w:hint="eastAsia" w:ascii="宋体" w:hAnsi="宋体"/>
                <w:color w:val="000000"/>
                <w:kern w:val="0"/>
                <w:sz w:val="21"/>
                <w:szCs w:val="21"/>
              </w:rPr>
              <w:t xml:space="preserve">排水方式 上排水 </w:t>
            </w:r>
            <w:r>
              <w:rPr>
                <w:rFonts w:hint="eastAsia" w:ascii="宋体" w:hAnsi="宋体"/>
                <w:color w:val="000000"/>
                <w:kern w:val="0"/>
                <w:sz w:val="21"/>
                <w:szCs w:val="21"/>
              </w:rPr>
              <w:br w:type="textWrapping"/>
            </w:r>
            <w:r>
              <w:rPr>
                <w:rFonts w:hint="eastAsia" w:ascii="宋体" w:hAnsi="宋体"/>
                <w:color w:val="000000"/>
                <w:kern w:val="0"/>
                <w:sz w:val="21"/>
                <w:szCs w:val="21"/>
              </w:rPr>
              <w:t xml:space="preserve">显示屏 LED数码显示 </w:t>
            </w:r>
            <w:r>
              <w:rPr>
                <w:rFonts w:hint="eastAsia" w:ascii="宋体" w:hAnsi="宋体"/>
                <w:color w:val="000000"/>
                <w:kern w:val="0"/>
                <w:sz w:val="21"/>
                <w:szCs w:val="21"/>
              </w:rPr>
              <w:br w:type="textWrapping"/>
            </w:r>
            <w:r>
              <w:rPr>
                <w:rFonts w:hint="eastAsia" w:ascii="宋体" w:hAnsi="宋体"/>
                <w:color w:val="000000"/>
                <w:kern w:val="0"/>
                <w:sz w:val="21"/>
                <w:szCs w:val="21"/>
              </w:rPr>
              <w:t xml:space="preserve">内桶材质 不锈钢 </w:t>
            </w:r>
            <w:r>
              <w:rPr>
                <w:rFonts w:hint="eastAsia" w:ascii="宋体" w:hAnsi="宋体"/>
                <w:color w:val="000000"/>
                <w:kern w:val="0"/>
                <w:sz w:val="21"/>
                <w:szCs w:val="21"/>
              </w:rPr>
              <w:br w:type="textWrapping"/>
            </w:r>
            <w:r>
              <w:rPr>
                <w:rFonts w:hint="eastAsia" w:ascii="宋体" w:hAnsi="宋体"/>
                <w:color w:val="000000"/>
                <w:kern w:val="0"/>
                <w:sz w:val="21"/>
                <w:szCs w:val="21"/>
              </w:rPr>
              <w:t xml:space="preserve">箱体材料 渗锌钢板 </w:t>
            </w:r>
            <w:r>
              <w:rPr>
                <w:rFonts w:hint="eastAsia" w:ascii="宋体" w:hAnsi="宋体"/>
                <w:color w:val="000000"/>
                <w:kern w:val="0"/>
                <w:sz w:val="21"/>
                <w:szCs w:val="21"/>
              </w:rPr>
              <w:br w:type="textWrapping"/>
            </w:r>
            <w:r>
              <w:rPr>
                <w:rFonts w:hint="eastAsia" w:ascii="宋体" w:hAnsi="宋体"/>
                <w:color w:val="000000"/>
                <w:kern w:val="0"/>
                <w:sz w:val="21"/>
                <w:szCs w:val="21"/>
              </w:rPr>
              <w:t xml:space="preserve">适用家庭 四口及以上 </w:t>
            </w:r>
            <w:r>
              <w:rPr>
                <w:rFonts w:hint="eastAsia" w:ascii="宋体" w:hAnsi="宋体"/>
                <w:color w:val="000000"/>
                <w:kern w:val="0"/>
                <w:sz w:val="21"/>
                <w:szCs w:val="21"/>
              </w:rPr>
              <w:br w:type="textWrapping"/>
            </w:r>
            <w:r>
              <w:rPr>
                <w:rFonts w:hint="eastAsia" w:ascii="宋体" w:hAnsi="宋体"/>
                <w:color w:val="000000"/>
                <w:kern w:val="0"/>
                <w:sz w:val="21"/>
                <w:szCs w:val="21"/>
              </w:rPr>
              <w:t xml:space="preserve">整机质保年限 3年 </w:t>
            </w:r>
            <w:r>
              <w:rPr>
                <w:rFonts w:hint="eastAsia" w:ascii="宋体" w:hAnsi="宋体"/>
                <w:color w:val="000000"/>
                <w:kern w:val="0"/>
                <w:sz w:val="21"/>
                <w:szCs w:val="21"/>
              </w:rPr>
              <w:br w:type="textWrapping"/>
            </w:r>
            <w:r>
              <w:rPr>
                <w:rFonts w:hint="eastAsia" w:ascii="宋体" w:hAnsi="宋体"/>
                <w:color w:val="000000"/>
                <w:kern w:val="0"/>
                <w:sz w:val="21"/>
                <w:szCs w:val="21"/>
              </w:rPr>
              <w:t xml:space="preserve">水温范围 冷水~90℃ </w:t>
            </w:r>
            <w:r>
              <w:rPr>
                <w:rFonts w:hint="eastAsia" w:ascii="宋体" w:hAnsi="宋体"/>
                <w:color w:val="000000"/>
                <w:kern w:val="0"/>
                <w:sz w:val="21"/>
                <w:szCs w:val="21"/>
              </w:rPr>
              <w:br w:type="textWrapping"/>
            </w:r>
            <w:r>
              <w:rPr>
                <w:rFonts w:hint="eastAsia" w:ascii="宋体" w:hAnsi="宋体"/>
                <w:color w:val="000000"/>
                <w:kern w:val="0"/>
                <w:sz w:val="21"/>
                <w:szCs w:val="21"/>
              </w:rPr>
              <w:t xml:space="preserve">国家能效等级  1级 </w:t>
            </w:r>
            <w:r>
              <w:rPr>
                <w:rFonts w:hint="eastAsia" w:ascii="宋体" w:hAnsi="宋体"/>
                <w:color w:val="000000"/>
                <w:kern w:val="0"/>
                <w:sz w:val="21"/>
                <w:szCs w:val="21"/>
              </w:rPr>
              <w:br w:type="textWrapping"/>
            </w:r>
            <w:r>
              <w:rPr>
                <w:rFonts w:hint="eastAsia" w:ascii="宋体" w:hAnsi="宋体"/>
                <w:color w:val="000000"/>
                <w:kern w:val="0"/>
                <w:sz w:val="21"/>
                <w:szCs w:val="21"/>
              </w:rPr>
              <w:t xml:space="preserve">变频 </w:t>
            </w:r>
            <w:r>
              <w:rPr>
                <w:rFonts w:hint="eastAsia" w:ascii="宋体" w:hAnsi="宋体"/>
                <w:color w:val="000000"/>
                <w:kern w:val="0"/>
                <w:sz w:val="21"/>
                <w:szCs w:val="21"/>
              </w:rPr>
              <w:br w:type="textWrapping"/>
            </w:r>
            <w:r>
              <w:rPr>
                <w:rFonts w:hint="eastAsia" w:ascii="宋体" w:hAnsi="宋体"/>
                <w:color w:val="000000"/>
                <w:kern w:val="0"/>
                <w:sz w:val="21"/>
                <w:szCs w:val="21"/>
              </w:rPr>
              <w:t xml:space="preserve">预约 无 </w:t>
            </w:r>
            <w:r>
              <w:rPr>
                <w:rFonts w:hint="eastAsia" w:ascii="宋体" w:hAnsi="宋体"/>
                <w:color w:val="000000"/>
                <w:kern w:val="0"/>
                <w:sz w:val="21"/>
                <w:szCs w:val="21"/>
              </w:rPr>
              <w:br w:type="textWrapping"/>
            </w:r>
            <w:r>
              <w:rPr>
                <w:rFonts w:hint="eastAsia" w:ascii="宋体" w:hAnsi="宋体"/>
                <w:color w:val="000000"/>
                <w:kern w:val="0"/>
                <w:sz w:val="21"/>
                <w:szCs w:val="21"/>
              </w:rPr>
              <w:t xml:space="preserve">中途添加衣物 有 </w:t>
            </w:r>
            <w:r>
              <w:rPr>
                <w:rFonts w:hint="eastAsia" w:ascii="宋体" w:hAnsi="宋体"/>
                <w:color w:val="000000"/>
                <w:kern w:val="0"/>
                <w:sz w:val="21"/>
                <w:szCs w:val="21"/>
              </w:rPr>
              <w:br w:type="textWrapping"/>
            </w:r>
            <w:r>
              <w:rPr>
                <w:rFonts w:hint="eastAsia" w:ascii="宋体" w:hAnsi="宋体"/>
                <w:color w:val="000000"/>
                <w:kern w:val="0"/>
                <w:sz w:val="21"/>
                <w:szCs w:val="21"/>
              </w:rPr>
              <w:t xml:space="preserve">特性功能 烘干功能,记忆功能,自动进水,脱水功能,加漂洗,快洗 </w:t>
            </w:r>
            <w:r>
              <w:rPr>
                <w:rFonts w:hint="eastAsia" w:ascii="宋体" w:hAnsi="宋体"/>
                <w:color w:val="000000"/>
                <w:kern w:val="0"/>
                <w:sz w:val="21"/>
                <w:szCs w:val="21"/>
              </w:rPr>
              <w:br w:type="textWrapping"/>
            </w:r>
            <w:r>
              <w:rPr>
                <w:rFonts w:hint="eastAsia" w:ascii="宋体" w:hAnsi="宋体"/>
                <w:color w:val="000000"/>
                <w:kern w:val="0"/>
                <w:sz w:val="21"/>
                <w:szCs w:val="21"/>
              </w:rPr>
              <w:t xml:space="preserve">DD电机  无 </w:t>
            </w:r>
            <w:r>
              <w:rPr>
                <w:rFonts w:hint="eastAsia" w:ascii="宋体" w:hAnsi="宋体"/>
                <w:color w:val="000000"/>
                <w:kern w:val="0"/>
                <w:sz w:val="21"/>
                <w:szCs w:val="21"/>
              </w:rPr>
              <w:br w:type="textWrapping"/>
            </w:r>
            <w:r>
              <w:rPr>
                <w:rFonts w:hint="eastAsia" w:ascii="宋体" w:hAnsi="宋体"/>
                <w:color w:val="000000"/>
                <w:kern w:val="0"/>
                <w:sz w:val="21"/>
                <w:szCs w:val="21"/>
              </w:rPr>
              <w:t xml:space="preserve">童锁功能 有 </w:t>
            </w:r>
            <w:r>
              <w:rPr>
                <w:rFonts w:hint="eastAsia" w:ascii="宋体" w:hAnsi="宋体"/>
                <w:color w:val="000000"/>
                <w:kern w:val="0"/>
                <w:sz w:val="21"/>
                <w:szCs w:val="21"/>
              </w:rPr>
              <w:br w:type="textWrapping"/>
            </w:r>
            <w:r>
              <w:rPr>
                <w:rFonts w:hint="eastAsia" w:ascii="宋体" w:hAnsi="宋体"/>
                <w:color w:val="000000"/>
                <w:kern w:val="0"/>
                <w:sz w:val="21"/>
                <w:szCs w:val="21"/>
              </w:rPr>
              <w:t xml:space="preserve">转速 1400转/分 </w:t>
            </w:r>
            <w:r>
              <w:rPr>
                <w:rFonts w:hint="eastAsia" w:ascii="宋体" w:hAnsi="宋体"/>
                <w:color w:val="000000"/>
                <w:kern w:val="0"/>
                <w:sz w:val="21"/>
                <w:szCs w:val="21"/>
              </w:rPr>
              <w:br w:type="textWrapping"/>
            </w:r>
            <w:r>
              <w:rPr>
                <w:rFonts w:hint="eastAsia" w:ascii="宋体" w:hAnsi="宋体"/>
                <w:color w:val="000000"/>
                <w:kern w:val="0"/>
                <w:sz w:val="21"/>
                <w:szCs w:val="21"/>
              </w:rPr>
              <w:t xml:space="preserve">加热功能 有 </w:t>
            </w:r>
            <w:r>
              <w:rPr>
                <w:rFonts w:hint="eastAsia" w:ascii="宋体" w:hAnsi="宋体"/>
                <w:color w:val="000000"/>
                <w:kern w:val="0"/>
                <w:sz w:val="21"/>
                <w:szCs w:val="21"/>
              </w:rPr>
              <w:br w:type="textWrapping"/>
            </w:r>
            <w:r>
              <w:rPr>
                <w:rFonts w:hint="eastAsia" w:ascii="宋体" w:hAnsi="宋体"/>
                <w:color w:val="000000"/>
                <w:kern w:val="0"/>
                <w:sz w:val="21"/>
                <w:szCs w:val="21"/>
              </w:rPr>
              <w:t xml:space="preserve">自动断电 有 </w:t>
            </w:r>
            <w:r>
              <w:rPr>
                <w:rFonts w:hint="eastAsia" w:ascii="宋体" w:hAnsi="宋体"/>
                <w:color w:val="000000"/>
                <w:kern w:val="0"/>
                <w:sz w:val="21"/>
                <w:szCs w:val="21"/>
              </w:rPr>
              <w:br w:type="textWrapping"/>
            </w:r>
            <w:r>
              <w:rPr>
                <w:rFonts w:hint="eastAsia" w:ascii="宋体" w:hAnsi="宋体"/>
                <w:color w:val="000000"/>
                <w:kern w:val="0"/>
                <w:sz w:val="21"/>
                <w:szCs w:val="21"/>
              </w:rPr>
              <w:t xml:space="preserve">洗衣程序 单脱水 ,混合洗,羽绒服洗等 </w:t>
            </w:r>
            <w:r>
              <w:rPr>
                <w:rFonts w:hint="eastAsia" w:ascii="宋体" w:hAnsi="宋体"/>
                <w:color w:val="000000"/>
                <w:kern w:val="0"/>
                <w:sz w:val="21"/>
                <w:szCs w:val="21"/>
              </w:rPr>
              <w:br w:type="textWrapping"/>
            </w:r>
            <w:r>
              <w:rPr>
                <w:rFonts w:hint="eastAsia" w:ascii="宋体" w:hAnsi="宋体"/>
                <w:color w:val="000000"/>
                <w:kern w:val="0"/>
                <w:sz w:val="21"/>
                <w:szCs w:val="21"/>
              </w:rPr>
              <w:t xml:space="preserve">智能类型 智能APP </w:t>
            </w:r>
            <w:r>
              <w:rPr>
                <w:rFonts w:hint="eastAsia" w:ascii="宋体" w:hAnsi="宋体"/>
                <w:color w:val="000000"/>
                <w:kern w:val="0"/>
                <w:sz w:val="21"/>
                <w:szCs w:val="21"/>
              </w:rPr>
              <w:br w:type="textWrapping"/>
            </w:r>
            <w:r>
              <w:rPr>
                <w:rFonts w:hint="eastAsia" w:ascii="宋体" w:hAnsi="宋体"/>
                <w:color w:val="000000"/>
                <w:kern w:val="0"/>
                <w:sz w:val="21"/>
                <w:szCs w:val="21"/>
              </w:rPr>
              <w:t xml:space="preserve">断电记忆 支持 </w:t>
            </w:r>
            <w:r>
              <w:rPr>
                <w:rFonts w:hint="eastAsia" w:ascii="宋体" w:hAnsi="宋体"/>
                <w:color w:val="000000"/>
                <w:kern w:val="0"/>
                <w:sz w:val="21"/>
                <w:szCs w:val="21"/>
              </w:rPr>
              <w:br w:type="textWrapping"/>
            </w:r>
            <w:r>
              <w:rPr>
                <w:rFonts w:hint="eastAsia" w:ascii="宋体" w:hAnsi="宋体"/>
                <w:color w:val="000000"/>
                <w:kern w:val="0"/>
                <w:sz w:val="21"/>
                <w:szCs w:val="21"/>
              </w:rPr>
              <w:t xml:space="preserve">产品重量 72千克 </w:t>
            </w:r>
            <w:r>
              <w:rPr>
                <w:rFonts w:hint="eastAsia" w:ascii="宋体" w:hAnsi="宋体"/>
                <w:color w:val="000000"/>
                <w:kern w:val="0"/>
                <w:sz w:val="21"/>
                <w:szCs w:val="21"/>
              </w:rPr>
              <w:br w:type="textWrapping"/>
            </w:r>
            <w:r>
              <w:rPr>
                <w:rFonts w:hint="eastAsia" w:ascii="宋体" w:hAnsi="宋体"/>
                <w:color w:val="000000"/>
                <w:kern w:val="0"/>
                <w:sz w:val="21"/>
                <w:szCs w:val="21"/>
              </w:rPr>
              <w:t xml:space="preserve">洗净比 1.05 </w:t>
            </w:r>
            <w:r>
              <w:rPr>
                <w:rFonts w:hint="eastAsia" w:ascii="宋体" w:hAnsi="宋体"/>
                <w:color w:val="000000"/>
                <w:kern w:val="0"/>
                <w:sz w:val="21"/>
                <w:szCs w:val="21"/>
              </w:rPr>
              <w:br w:type="textWrapping"/>
            </w:r>
            <w:r>
              <w:rPr>
                <w:rFonts w:hint="eastAsia" w:ascii="宋体" w:hAnsi="宋体"/>
                <w:color w:val="000000"/>
                <w:kern w:val="0"/>
                <w:sz w:val="21"/>
                <w:szCs w:val="21"/>
              </w:rPr>
              <w:t xml:space="preserve">电压/频率 220V/50Hz </w:t>
            </w:r>
            <w:r>
              <w:rPr>
                <w:rFonts w:hint="eastAsia" w:ascii="宋体" w:hAnsi="宋体"/>
                <w:color w:val="000000"/>
                <w:kern w:val="0"/>
                <w:sz w:val="21"/>
                <w:szCs w:val="21"/>
              </w:rPr>
              <w:br w:type="textWrapping"/>
            </w:r>
            <w:r>
              <w:rPr>
                <w:rFonts w:hint="eastAsia" w:ascii="宋体" w:hAnsi="宋体"/>
                <w:color w:val="000000"/>
                <w:kern w:val="0"/>
                <w:sz w:val="21"/>
                <w:szCs w:val="21"/>
              </w:rPr>
              <w:t xml:space="preserve">洗衣容量 10千克 </w:t>
            </w:r>
            <w:r>
              <w:rPr>
                <w:rFonts w:hint="eastAsia" w:ascii="宋体" w:hAnsi="宋体"/>
                <w:color w:val="000000"/>
                <w:kern w:val="0"/>
                <w:sz w:val="21"/>
                <w:szCs w:val="21"/>
              </w:rPr>
              <w:br w:type="textWrapping"/>
            </w:r>
            <w:r>
              <w:rPr>
                <w:rFonts w:hint="eastAsia" w:ascii="宋体" w:hAnsi="宋体"/>
                <w:color w:val="000000"/>
                <w:kern w:val="0"/>
                <w:sz w:val="21"/>
                <w:szCs w:val="21"/>
              </w:rPr>
              <w:t xml:space="preserve">洗涤功率 200瓦 </w:t>
            </w:r>
            <w:r>
              <w:rPr>
                <w:rFonts w:hint="eastAsia" w:ascii="宋体" w:hAnsi="宋体"/>
                <w:color w:val="000000"/>
                <w:kern w:val="0"/>
                <w:sz w:val="21"/>
                <w:szCs w:val="21"/>
              </w:rPr>
              <w:br w:type="textWrapping"/>
            </w:r>
            <w:r>
              <w:rPr>
                <w:rFonts w:hint="eastAsia" w:ascii="宋体" w:hAnsi="宋体"/>
                <w:color w:val="000000"/>
                <w:kern w:val="0"/>
                <w:sz w:val="21"/>
                <w:szCs w:val="21"/>
              </w:rPr>
              <w:t xml:space="preserve">脱水容量 10千克 </w:t>
            </w:r>
            <w:r>
              <w:rPr>
                <w:rFonts w:hint="eastAsia" w:ascii="宋体" w:hAnsi="宋体"/>
                <w:color w:val="000000"/>
                <w:kern w:val="0"/>
                <w:sz w:val="21"/>
                <w:szCs w:val="21"/>
              </w:rPr>
              <w:br w:type="textWrapping"/>
            </w:r>
            <w:r>
              <w:rPr>
                <w:rFonts w:hint="eastAsia" w:ascii="宋体" w:hAnsi="宋体"/>
                <w:color w:val="000000"/>
                <w:kern w:val="0"/>
                <w:sz w:val="21"/>
                <w:szCs w:val="21"/>
              </w:rPr>
              <w:t xml:space="preserve">脱水功率 450瓦 </w:t>
            </w:r>
            <w:r>
              <w:rPr>
                <w:rFonts w:hint="eastAsia" w:ascii="宋体" w:hAnsi="宋体"/>
                <w:color w:val="000000"/>
                <w:kern w:val="0"/>
                <w:sz w:val="21"/>
                <w:szCs w:val="21"/>
              </w:rPr>
              <w:br w:type="textWrapping"/>
            </w:r>
            <w:r>
              <w:rPr>
                <w:rFonts w:hint="eastAsia" w:ascii="宋体" w:hAnsi="宋体"/>
                <w:color w:val="000000"/>
                <w:kern w:val="0"/>
                <w:sz w:val="21"/>
                <w:szCs w:val="21"/>
              </w:rPr>
              <w:t xml:space="preserve">烘干容量 7千克 </w:t>
            </w:r>
            <w:r>
              <w:rPr>
                <w:rFonts w:hint="eastAsia" w:ascii="宋体" w:hAnsi="宋体"/>
                <w:color w:val="000000"/>
                <w:kern w:val="0"/>
                <w:sz w:val="21"/>
                <w:szCs w:val="21"/>
              </w:rPr>
              <w:br w:type="textWrapping"/>
            </w:r>
            <w:r>
              <w:rPr>
                <w:rFonts w:hint="eastAsia" w:ascii="宋体" w:hAnsi="宋体"/>
                <w:color w:val="000000"/>
                <w:kern w:val="0"/>
                <w:sz w:val="21"/>
                <w:szCs w:val="21"/>
              </w:rPr>
              <w:t xml:space="preserve">洗涤噪音 56分贝 </w:t>
            </w:r>
            <w:r>
              <w:rPr>
                <w:rFonts w:hint="eastAsia" w:ascii="宋体" w:hAnsi="宋体"/>
                <w:color w:val="000000"/>
                <w:kern w:val="0"/>
                <w:sz w:val="21"/>
                <w:szCs w:val="21"/>
              </w:rPr>
              <w:br w:type="textWrapping"/>
            </w:r>
            <w:r>
              <w:rPr>
                <w:rFonts w:hint="eastAsia" w:ascii="宋体" w:hAnsi="宋体"/>
                <w:color w:val="000000"/>
                <w:kern w:val="0"/>
                <w:sz w:val="21"/>
                <w:szCs w:val="21"/>
              </w:rPr>
              <w:t xml:space="preserve">标准程序耗水量 56升 </w:t>
            </w:r>
            <w:r>
              <w:rPr>
                <w:rFonts w:hint="eastAsia" w:ascii="宋体" w:hAnsi="宋体"/>
                <w:color w:val="000000"/>
                <w:kern w:val="0"/>
                <w:sz w:val="21"/>
                <w:szCs w:val="21"/>
              </w:rPr>
              <w:br w:type="textWrapping"/>
            </w:r>
            <w:r>
              <w:rPr>
                <w:rFonts w:hint="eastAsia" w:ascii="宋体" w:hAnsi="宋体"/>
                <w:color w:val="000000"/>
                <w:kern w:val="0"/>
                <w:sz w:val="21"/>
                <w:szCs w:val="21"/>
              </w:rPr>
              <w:t xml:space="preserve">标准程序耗电量 0.59度 </w:t>
            </w:r>
            <w:r>
              <w:rPr>
                <w:rFonts w:hint="eastAsia" w:ascii="宋体" w:hAnsi="宋体"/>
                <w:color w:val="000000"/>
                <w:kern w:val="0"/>
                <w:sz w:val="21"/>
                <w:szCs w:val="21"/>
              </w:rPr>
              <w:br w:type="textWrapping"/>
            </w:r>
            <w:r>
              <w:rPr>
                <w:rFonts w:hint="eastAsia" w:ascii="宋体" w:hAnsi="宋体"/>
                <w:color w:val="000000"/>
                <w:kern w:val="0"/>
                <w:sz w:val="21"/>
                <w:szCs w:val="21"/>
              </w:rPr>
              <w:t xml:space="preserve">产品尺寸（宽*深*高） 595x600x850毫米 </w:t>
            </w:r>
            <w:r>
              <w:rPr>
                <w:rFonts w:hint="eastAsia" w:ascii="宋体" w:hAnsi="宋体"/>
                <w:color w:val="000000"/>
                <w:kern w:val="0"/>
                <w:sz w:val="21"/>
                <w:szCs w:val="21"/>
              </w:rPr>
              <w:br w:type="textWrapping"/>
            </w:r>
            <w:r>
              <w:rPr>
                <w:rFonts w:hint="eastAsia" w:ascii="宋体" w:hAnsi="宋体"/>
                <w:color w:val="000000"/>
                <w:kern w:val="0"/>
                <w:sz w:val="21"/>
                <w:szCs w:val="21"/>
              </w:rPr>
              <w:t xml:space="preserve">包装尺寸（宽*深*高） 684x752x962毫米 </w:t>
            </w:r>
          </w:p>
        </w:tc>
      </w:tr>
      <w:tr>
        <w:tblPrEx>
          <w:tblCellMar>
            <w:top w:w="0" w:type="dxa"/>
            <w:left w:w="0" w:type="dxa"/>
            <w:bottom w:w="0" w:type="dxa"/>
            <w:right w:w="0" w:type="dxa"/>
          </w:tblCellMar>
        </w:tblPrEx>
        <w:trPr>
          <w:trHeight w:val="610" w:hRule="atLeast"/>
        </w:trPr>
        <w:tc>
          <w:tcPr>
            <w:tcW w:w="711" w:type="dxa"/>
            <w:vMerge w:val="restart"/>
            <w:tcBorders>
              <w:top w:val="single" w:color="000000" w:sz="4" w:space="0"/>
              <w:left w:val="single" w:color="000000" w:sz="4" w:space="0"/>
              <w:right w:val="single" w:color="000000" w:sz="4" w:space="0"/>
            </w:tcBorders>
            <w:noWrap/>
            <w:tcMar>
              <w:top w:w="15" w:type="dxa"/>
              <w:left w:w="15" w:type="dxa"/>
              <w:right w:w="15" w:type="dxa"/>
            </w:tcMar>
            <w:vAlign w:val="center"/>
          </w:tcPr>
          <w:p>
            <w:pPr>
              <w:jc w:val="center"/>
              <w:rPr>
                <w:rFonts w:ascii="宋体" w:hAnsi="宋体"/>
                <w:color w:val="000000"/>
                <w:sz w:val="21"/>
                <w:szCs w:val="21"/>
              </w:rPr>
            </w:pPr>
            <w:r>
              <w:rPr>
                <w:rFonts w:hint="eastAsia" w:ascii="宋体" w:hAnsi="宋体"/>
                <w:color w:val="000000"/>
                <w:sz w:val="21"/>
                <w:szCs w:val="21"/>
              </w:rPr>
              <w:t>实验室环境要求</w:t>
            </w:r>
          </w:p>
          <w:p>
            <w:pPr>
              <w:jc w:val="center"/>
              <w:rPr>
                <w:rFonts w:ascii="宋体" w:hAnsi="宋体"/>
                <w:color w:val="000000"/>
                <w:sz w:val="21"/>
                <w:szCs w:val="21"/>
              </w:rPr>
            </w:pPr>
          </w:p>
        </w:tc>
        <w:tc>
          <w:tcPr>
            <w:tcW w:w="435" w:type="dxa"/>
            <w:vMerge w:val="restart"/>
            <w:tcBorders>
              <w:top w:val="single" w:color="000000" w:sz="4" w:space="0"/>
              <w:left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color w:val="000000"/>
                <w:kern w:val="0"/>
                <w:sz w:val="21"/>
                <w:szCs w:val="21"/>
              </w:rPr>
            </w:pPr>
            <w:r>
              <w:rPr>
                <w:rFonts w:hint="eastAsia" w:ascii="宋体" w:hAnsi="宋体"/>
                <w:color w:val="000000"/>
                <w:kern w:val="0"/>
                <w:sz w:val="21"/>
                <w:szCs w:val="21"/>
              </w:rPr>
              <w:t>25</w:t>
            </w:r>
          </w:p>
          <w:p>
            <w:pPr>
              <w:widowControl/>
              <w:jc w:val="center"/>
              <w:textAlignment w:val="center"/>
              <w:rPr>
                <w:rFonts w:ascii="宋体" w:hAnsi="宋体"/>
                <w:color w:val="000000"/>
                <w:sz w:val="21"/>
                <w:szCs w:val="21"/>
              </w:rPr>
            </w:pPr>
          </w:p>
        </w:tc>
        <w:tc>
          <w:tcPr>
            <w:tcW w:w="735"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olor w:val="000000"/>
                <w:sz w:val="21"/>
                <w:szCs w:val="21"/>
              </w:rPr>
            </w:pPr>
            <w:r>
              <w:rPr>
                <w:rFonts w:hint="eastAsia" w:ascii="宋体" w:hAnsi="宋体"/>
                <w:color w:val="000000"/>
                <w:sz w:val="21"/>
                <w:szCs w:val="21"/>
              </w:rPr>
              <w:t>PCR实验室环境工作站</w:t>
            </w:r>
          </w:p>
          <w:p>
            <w:pPr>
              <w:widowControl/>
              <w:jc w:val="center"/>
              <w:textAlignment w:val="center"/>
              <w:rPr>
                <w:rFonts w:ascii="宋体" w:hAnsi="宋体"/>
                <w:color w:val="000000"/>
                <w:sz w:val="21"/>
                <w:szCs w:val="21"/>
              </w:rPr>
            </w:pPr>
          </w:p>
        </w:tc>
        <w:tc>
          <w:tcPr>
            <w:tcW w:w="605" w:type="dxa"/>
            <w:vMerge w:val="restart"/>
            <w:tcBorders>
              <w:top w:val="single" w:color="000000" w:sz="4" w:space="0"/>
              <w:left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color w:val="000000"/>
                <w:kern w:val="0"/>
                <w:sz w:val="21"/>
                <w:szCs w:val="21"/>
              </w:rPr>
            </w:pPr>
            <w:r>
              <w:rPr>
                <w:rFonts w:hint="eastAsia" w:ascii="宋体" w:hAnsi="宋体"/>
                <w:color w:val="000000"/>
                <w:kern w:val="0"/>
                <w:sz w:val="21"/>
                <w:szCs w:val="21"/>
              </w:rPr>
              <w:t>1套</w:t>
            </w:r>
          </w:p>
          <w:p>
            <w:pPr>
              <w:widowControl/>
              <w:jc w:val="center"/>
              <w:textAlignment w:val="center"/>
              <w:rPr>
                <w:rFonts w:ascii="宋体" w:hAnsi="宋体"/>
                <w:color w:val="000000"/>
                <w:sz w:val="21"/>
                <w:szCs w:val="21"/>
              </w:rPr>
            </w:pPr>
          </w:p>
        </w:tc>
        <w:tc>
          <w:tcPr>
            <w:tcW w:w="743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olor w:val="000000"/>
                <w:sz w:val="21"/>
                <w:szCs w:val="21"/>
              </w:rPr>
            </w:pPr>
            <w:r>
              <w:rPr>
                <w:rFonts w:hint="eastAsia" w:ascii="宋体" w:hAnsi="宋体"/>
                <w:color w:val="000000"/>
                <w:sz w:val="21"/>
                <w:szCs w:val="21"/>
              </w:rPr>
              <w:t>执行标准</w:t>
            </w:r>
          </w:p>
        </w:tc>
      </w:tr>
      <w:tr>
        <w:tblPrEx>
          <w:tblCellMar>
            <w:top w:w="0" w:type="dxa"/>
            <w:left w:w="0" w:type="dxa"/>
            <w:bottom w:w="0" w:type="dxa"/>
            <w:right w:w="0" w:type="dxa"/>
          </w:tblCellMar>
        </w:tblPrEx>
        <w:trPr>
          <w:trHeight w:val="2295" w:hRule="atLeast"/>
        </w:trPr>
        <w:tc>
          <w:tcPr>
            <w:tcW w:w="711" w:type="dxa"/>
            <w:vMerge w:val="continue"/>
            <w:tcBorders>
              <w:left w:val="single" w:color="000000" w:sz="4" w:space="0"/>
              <w:right w:val="single" w:color="000000" w:sz="4" w:space="0"/>
            </w:tcBorders>
            <w:noWrap/>
            <w:tcMar>
              <w:top w:w="15" w:type="dxa"/>
              <w:left w:w="15" w:type="dxa"/>
              <w:right w:w="15" w:type="dxa"/>
            </w:tcMar>
            <w:vAlign w:val="center"/>
          </w:tcPr>
          <w:p>
            <w:pPr>
              <w:jc w:val="center"/>
              <w:rPr>
                <w:rFonts w:ascii="宋体" w:hAnsi="宋体"/>
                <w:color w:val="000000"/>
                <w:sz w:val="21"/>
                <w:szCs w:val="21"/>
              </w:rPr>
            </w:pPr>
          </w:p>
        </w:tc>
        <w:tc>
          <w:tcPr>
            <w:tcW w:w="435" w:type="dxa"/>
            <w:vMerge w:val="continue"/>
            <w:tcBorders>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color w:val="000000"/>
                <w:sz w:val="21"/>
                <w:szCs w:val="21"/>
              </w:rPr>
            </w:pPr>
          </w:p>
        </w:tc>
        <w:tc>
          <w:tcPr>
            <w:tcW w:w="735" w:type="dxa"/>
            <w:vMerge w:val="continue"/>
            <w:tcBorders>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olor w:val="000000"/>
                <w:sz w:val="21"/>
                <w:szCs w:val="21"/>
              </w:rPr>
            </w:pPr>
          </w:p>
        </w:tc>
        <w:tc>
          <w:tcPr>
            <w:tcW w:w="605" w:type="dxa"/>
            <w:vMerge w:val="continue"/>
            <w:tcBorders>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color w:val="000000"/>
                <w:sz w:val="21"/>
                <w:szCs w:val="21"/>
              </w:rPr>
            </w:pPr>
          </w:p>
        </w:tc>
        <w:tc>
          <w:tcPr>
            <w:tcW w:w="743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ind w:firstLine="440" w:firstLineChars="200"/>
              <w:rPr>
                <w:rFonts w:ascii="宋体" w:hAnsi="宋体"/>
                <w:b/>
                <w:bCs/>
                <w:color w:val="000000"/>
                <w:sz w:val="22"/>
                <w:szCs w:val="22"/>
              </w:rPr>
            </w:pPr>
            <w:r>
              <w:rPr>
                <w:rFonts w:hint="eastAsia" w:ascii="宋体" w:hAnsi="宋体"/>
                <w:color w:val="000000"/>
                <w:sz w:val="22"/>
                <w:szCs w:val="22"/>
              </w:rPr>
              <w:t>实验室分为两个区域：辅助用房及PCR实验室，辅助用房包含：更衣淋浴间，洗涤间，耗材储存间，样本接收间，污物暂存间及灭菌间，PCR实验室分为三个区域：试剂准备室1间，样本制备区1间、扩增分析室1间，总面积约为170㎡。</w:t>
            </w:r>
            <w:r>
              <w:rPr>
                <w:rFonts w:hint="eastAsia" w:ascii="宋体" w:hAnsi="宋体"/>
                <w:b/>
                <w:bCs/>
                <w:color w:val="000000"/>
                <w:sz w:val="22"/>
                <w:szCs w:val="22"/>
              </w:rPr>
              <w:t>PCR实验室环境工作站要求中标人应选择具有建筑装修专业承包二级及以上资质和机电设备安装专业承包三级及以上资质的单位进行施工，设计应选择具有相应设计资质的单位进行设计。</w:t>
            </w:r>
          </w:p>
          <w:p>
            <w:pPr>
              <w:rPr>
                <w:rFonts w:ascii="宋体" w:hAnsi="宋体"/>
                <w:color w:val="000000"/>
                <w:sz w:val="22"/>
                <w:szCs w:val="22"/>
              </w:rPr>
            </w:pPr>
            <w:r>
              <w:rPr>
                <w:rFonts w:hint="eastAsia" w:ascii="宋体" w:hAnsi="宋体"/>
                <w:color w:val="000000"/>
                <w:sz w:val="22"/>
                <w:szCs w:val="22"/>
              </w:rPr>
              <w:t xml:space="preserve">一）技术标准和总体要求 </w:t>
            </w:r>
          </w:p>
          <w:p>
            <w:pPr>
              <w:rPr>
                <w:rFonts w:ascii="宋体" w:hAnsi="宋体"/>
                <w:color w:val="000000"/>
                <w:sz w:val="22"/>
                <w:szCs w:val="22"/>
              </w:rPr>
            </w:pPr>
            <w:r>
              <w:rPr>
                <w:rFonts w:hint="eastAsia" w:ascii="宋体" w:hAnsi="宋体"/>
                <w:color w:val="000000"/>
                <w:sz w:val="22"/>
                <w:szCs w:val="22"/>
              </w:rPr>
              <w:t xml:space="preserve">1、工程技术标准要求： </w:t>
            </w:r>
          </w:p>
          <w:p>
            <w:pPr>
              <w:rPr>
                <w:rFonts w:ascii="宋体" w:hAnsi="宋体"/>
                <w:color w:val="000000"/>
                <w:sz w:val="22"/>
                <w:szCs w:val="22"/>
              </w:rPr>
            </w:pPr>
            <w:r>
              <w:rPr>
                <w:rFonts w:hint="eastAsia" w:ascii="宋体" w:hAnsi="宋体"/>
                <w:color w:val="000000"/>
                <w:sz w:val="22"/>
                <w:szCs w:val="22"/>
              </w:rPr>
              <w:t>T/CECS661-2020《新型冠状病毒感染的肺炎传染病应急医疗设施设计标准》</w:t>
            </w:r>
          </w:p>
          <w:p>
            <w:pPr>
              <w:rPr>
                <w:rFonts w:ascii="宋体" w:hAnsi="宋体"/>
                <w:color w:val="000000"/>
                <w:sz w:val="22"/>
                <w:szCs w:val="22"/>
              </w:rPr>
            </w:pPr>
            <w:r>
              <w:rPr>
                <w:rFonts w:hint="eastAsia" w:ascii="宋体" w:hAnsi="宋体"/>
                <w:color w:val="000000"/>
                <w:sz w:val="22"/>
                <w:szCs w:val="22"/>
              </w:rPr>
              <w:t xml:space="preserve">GB50346-2011《生物安全实验室建筑技术规范》 </w:t>
            </w:r>
          </w:p>
          <w:p>
            <w:pPr>
              <w:rPr>
                <w:rFonts w:ascii="宋体" w:hAnsi="宋体"/>
                <w:color w:val="000000"/>
                <w:sz w:val="22"/>
                <w:szCs w:val="22"/>
              </w:rPr>
            </w:pPr>
            <w:r>
              <w:rPr>
                <w:rFonts w:hint="eastAsia" w:ascii="宋体" w:hAnsi="宋体"/>
                <w:color w:val="000000"/>
                <w:sz w:val="22"/>
                <w:szCs w:val="22"/>
              </w:rPr>
              <w:t xml:space="preserve">GB50243-2016《通风与空调工程施工质量验收规范》 </w:t>
            </w:r>
          </w:p>
          <w:p>
            <w:pPr>
              <w:rPr>
                <w:rFonts w:ascii="宋体" w:hAnsi="宋体"/>
                <w:color w:val="000000"/>
                <w:sz w:val="22"/>
                <w:szCs w:val="22"/>
              </w:rPr>
            </w:pPr>
            <w:r>
              <w:rPr>
                <w:rFonts w:hint="eastAsia" w:ascii="宋体" w:hAnsi="宋体"/>
                <w:color w:val="000000"/>
                <w:sz w:val="22"/>
                <w:szCs w:val="22"/>
              </w:rPr>
              <w:t xml:space="preserve">GB50591-2010  《洁净室施工及验收规范》             </w:t>
            </w:r>
          </w:p>
          <w:p>
            <w:pPr>
              <w:rPr>
                <w:rFonts w:ascii="宋体" w:hAnsi="宋体"/>
                <w:color w:val="000000"/>
                <w:sz w:val="22"/>
                <w:szCs w:val="22"/>
              </w:rPr>
            </w:pPr>
            <w:r>
              <w:rPr>
                <w:rFonts w:hint="eastAsia" w:ascii="宋体" w:hAnsi="宋体"/>
                <w:color w:val="000000"/>
                <w:sz w:val="22"/>
                <w:szCs w:val="22"/>
              </w:rPr>
              <w:t>GB19489-2008 《实验室生物安全通用要求》</w:t>
            </w:r>
          </w:p>
          <w:p>
            <w:pPr>
              <w:pStyle w:val="34"/>
              <w:ind w:firstLine="0" w:firstLineChars="0"/>
              <w:rPr>
                <w:rFonts w:asciiTheme="minorEastAsia" w:hAnsiTheme="minorEastAsia" w:eastAsiaTheme="minorEastAsia" w:cstheme="minorEastAsia"/>
              </w:rPr>
            </w:pPr>
            <w:r>
              <w:rPr>
                <w:rFonts w:hint="eastAsia" w:asciiTheme="minorEastAsia" w:hAnsiTheme="minorEastAsia" w:eastAsiaTheme="minorEastAsia" w:cstheme="minorEastAsia"/>
                <w:color w:val="000000"/>
                <w:sz w:val="22"/>
                <w:szCs w:val="22"/>
              </w:rPr>
              <w:t>WS233-2017《病原微生物实验室生物安全通用准则》</w:t>
            </w:r>
          </w:p>
          <w:p>
            <w:pPr>
              <w:rPr>
                <w:rFonts w:ascii="宋体" w:hAnsi="宋体"/>
                <w:color w:val="000000"/>
                <w:sz w:val="22"/>
                <w:szCs w:val="22"/>
              </w:rPr>
            </w:pPr>
            <w:r>
              <w:rPr>
                <w:rFonts w:hint="eastAsia" w:ascii="宋体" w:hAnsi="宋体"/>
                <w:color w:val="000000"/>
                <w:sz w:val="22"/>
                <w:szCs w:val="22"/>
              </w:rPr>
              <w:t xml:space="preserve">建标 127-2009《疾病预防控制中心建设标准》 </w:t>
            </w:r>
          </w:p>
          <w:p>
            <w:pPr>
              <w:rPr>
                <w:rFonts w:ascii="宋体" w:hAnsi="宋体"/>
                <w:color w:val="000000"/>
                <w:sz w:val="22"/>
                <w:szCs w:val="22"/>
              </w:rPr>
            </w:pPr>
            <w:r>
              <w:rPr>
                <w:rFonts w:hint="eastAsia" w:ascii="宋体" w:hAnsi="宋体"/>
                <w:color w:val="000000"/>
                <w:sz w:val="22"/>
                <w:szCs w:val="22"/>
              </w:rPr>
              <w:t>《临床基因扩增检验实验室设置标准》卫医 发[2002]10号</w:t>
            </w:r>
          </w:p>
          <w:p>
            <w:pPr>
              <w:rPr>
                <w:rFonts w:ascii="宋体" w:hAnsi="宋体"/>
                <w:color w:val="000000"/>
                <w:sz w:val="22"/>
                <w:szCs w:val="22"/>
              </w:rPr>
            </w:pPr>
            <w:r>
              <w:rPr>
                <w:rFonts w:hint="eastAsia" w:ascii="宋体" w:hAnsi="宋体"/>
                <w:color w:val="000000"/>
                <w:sz w:val="22"/>
                <w:szCs w:val="22"/>
              </w:rPr>
              <w:t>及其他国家现行的标准和规范。</w:t>
            </w:r>
          </w:p>
          <w:p>
            <w:pPr>
              <w:rPr>
                <w:rFonts w:ascii="宋体" w:hAnsi="宋体"/>
                <w:color w:val="000000"/>
                <w:sz w:val="22"/>
                <w:szCs w:val="22"/>
              </w:rPr>
            </w:pPr>
            <w:r>
              <w:rPr>
                <w:rFonts w:hint="eastAsia" w:ascii="宋体" w:hAnsi="宋体"/>
                <w:color w:val="000000"/>
                <w:sz w:val="22"/>
                <w:szCs w:val="22"/>
              </w:rPr>
              <w:t>2、施工范围：</w:t>
            </w:r>
          </w:p>
          <w:p>
            <w:pPr>
              <w:rPr>
                <w:rFonts w:ascii="宋体" w:hAnsi="宋体"/>
                <w:color w:val="000000"/>
                <w:sz w:val="22"/>
                <w:szCs w:val="22"/>
              </w:rPr>
            </w:pPr>
            <w:r>
              <w:rPr>
                <w:rFonts w:hint="eastAsia" w:ascii="宋体" w:hAnsi="宋体"/>
                <w:color w:val="000000"/>
                <w:sz w:val="22"/>
                <w:szCs w:val="22"/>
              </w:rPr>
              <w:t>2.1 建筑装饰装修系统、净化空调及排风系统，强电系统等。</w:t>
            </w:r>
          </w:p>
          <w:p>
            <w:pPr>
              <w:rPr>
                <w:rFonts w:ascii="宋体" w:hAnsi="宋体"/>
                <w:color w:val="000000"/>
                <w:sz w:val="22"/>
                <w:szCs w:val="22"/>
              </w:rPr>
            </w:pPr>
            <w:r>
              <w:rPr>
                <w:rFonts w:hint="eastAsia" w:ascii="宋体" w:hAnsi="宋体"/>
                <w:color w:val="000000"/>
                <w:sz w:val="22"/>
                <w:szCs w:val="22"/>
              </w:rPr>
              <w:t>二）深化设计方案基本要求</w:t>
            </w:r>
          </w:p>
          <w:p>
            <w:pPr>
              <w:rPr>
                <w:rFonts w:ascii="宋体" w:hAnsi="宋体"/>
                <w:color w:val="000000"/>
                <w:sz w:val="22"/>
                <w:szCs w:val="22"/>
              </w:rPr>
            </w:pPr>
            <w:r>
              <w:rPr>
                <w:rFonts w:hint="eastAsia" w:ascii="宋体" w:hAnsi="宋体"/>
                <w:color w:val="000000"/>
                <w:sz w:val="22"/>
                <w:szCs w:val="22"/>
              </w:rPr>
              <w:t>1. 保证PCR实验室工程质量，功能流程合理、流程走向分明，有利于减少交叉感染，有效地组织空气净化系统，满足洁净质量。确保工程符合有关规范和验收标准。洁净要求：试剂准备室，样本制备区、扩增分析室为10000级及准备（缓冲）间 100000 级，其余辅房为清洁区域。</w:t>
            </w:r>
          </w:p>
          <w:p>
            <w:pPr>
              <w:rPr>
                <w:rFonts w:ascii="宋体" w:hAnsi="宋体"/>
                <w:color w:val="000000"/>
                <w:sz w:val="22"/>
                <w:szCs w:val="22"/>
              </w:rPr>
            </w:pPr>
            <w:r>
              <w:rPr>
                <w:rFonts w:hint="eastAsia" w:ascii="宋体" w:hAnsi="宋体"/>
                <w:color w:val="000000"/>
                <w:sz w:val="22"/>
                <w:szCs w:val="22"/>
              </w:rPr>
              <w:t xml:space="preserve">2. PCR实验室的设计、设备、建筑装饰装修、材料、材质等应考虑经济、 实用、满足功能要求、后期运行费用低廉维修方便等因素。 </w:t>
            </w:r>
          </w:p>
          <w:p>
            <w:pPr>
              <w:rPr>
                <w:rFonts w:ascii="宋体" w:hAnsi="宋体"/>
                <w:color w:val="000000"/>
                <w:sz w:val="22"/>
                <w:szCs w:val="22"/>
              </w:rPr>
            </w:pPr>
            <w:r>
              <w:rPr>
                <w:rFonts w:hint="eastAsia" w:ascii="宋体" w:hAnsi="宋体"/>
                <w:color w:val="000000"/>
                <w:sz w:val="22"/>
                <w:szCs w:val="22"/>
              </w:rPr>
              <w:t>3. 遵循的原则：技术先进、造价经济、质量可靠、使用寿命长、操作维修方便、满足国家相关规范的要求。</w:t>
            </w:r>
          </w:p>
          <w:p>
            <w:pPr>
              <w:rPr>
                <w:rFonts w:ascii="宋体" w:hAnsi="宋体"/>
                <w:color w:val="000000"/>
                <w:sz w:val="22"/>
                <w:szCs w:val="22"/>
              </w:rPr>
            </w:pPr>
            <w:r>
              <w:rPr>
                <w:rFonts w:hint="eastAsia" w:ascii="宋体" w:hAnsi="宋体"/>
                <w:color w:val="000000"/>
                <w:sz w:val="22"/>
                <w:szCs w:val="22"/>
              </w:rPr>
              <w:t>三） PCR实验室净化空调工程设计及技术要求：</w:t>
            </w:r>
          </w:p>
          <w:p>
            <w:pPr>
              <w:rPr>
                <w:rFonts w:ascii="宋体" w:hAnsi="宋体"/>
                <w:color w:val="000000"/>
                <w:sz w:val="22"/>
                <w:szCs w:val="22"/>
              </w:rPr>
            </w:pPr>
            <w:r>
              <w:rPr>
                <w:rFonts w:hint="eastAsia" w:ascii="宋体" w:hAnsi="宋体"/>
                <w:color w:val="000000"/>
                <w:sz w:val="22"/>
                <w:szCs w:val="22"/>
              </w:rPr>
              <w:t>3.1  PCR实验室的压差梯度</w:t>
            </w:r>
          </w:p>
          <w:p>
            <w:pPr>
              <w:rPr>
                <w:rFonts w:ascii="宋体" w:hAnsi="宋体"/>
                <w:color w:val="000000"/>
                <w:sz w:val="22"/>
                <w:szCs w:val="22"/>
              </w:rPr>
            </w:pPr>
            <w:r>
              <w:rPr>
                <w:rFonts w:hint="eastAsia" w:ascii="宋体" w:hAnsi="宋体"/>
                <w:color w:val="000000"/>
                <w:sz w:val="22"/>
                <w:szCs w:val="22"/>
              </w:rPr>
              <w:t xml:space="preserve">    试剂准备室为10pa,缓冲间为10pa,样本制备区-10pa,缓冲间为-5pa,扩增产物分析室为-15pa,缓冲间为-5pa，保证压力递减，有利于减少交叉感染。</w:t>
            </w:r>
          </w:p>
          <w:p>
            <w:pPr>
              <w:rPr>
                <w:rFonts w:ascii="宋体" w:hAnsi="宋体"/>
                <w:color w:val="000000"/>
                <w:sz w:val="22"/>
                <w:szCs w:val="22"/>
              </w:rPr>
            </w:pPr>
            <w:r>
              <w:rPr>
                <w:rFonts w:hint="eastAsia" w:ascii="宋体" w:hAnsi="宋体"/>
                <w:color w:val="000000"/>
                <w:sz w:val="22"/>
                <w:szCs w:val="22"/>
              </w:rPr>
              <w:t>3.2 空调系统配置要求：</w:t>
            </w:r>
          </w:p>
          <w:p>
            <w:pPr>
              <w:rPr>
                <w:rFonts w:ascii="宋体" w:hAnsi="宋体"/>
                <w:color w:val="000000"/>
                <w:sz w:val="22"/>
                <w:szCs w:val="22"/>
              </w:rPr>
            </w:pPr>
            <w:r>
              <w:rPr>
                <w:rFonts w:hint="eastAsia" w:ascii="宋体" w:hAnsi="宋体"/>
                <w:color w:val="000000"/>
                <w:sz w:val="22"/>
                <w:szCs w:val="22"/>
              </w:rPr>
              <w:t>3.2.1 PCR实验室区域共用一台净化全新风机组，试剂准备室及缓冲间共用一台净化排风机组；样本制备区及缓冲间共用一台净化排风机组；扩增分析室及缓冲间配置一台净化排风机组。排风机与机组进行联动控制，排风机先于机组开启，后于机组关闭。辅房区域配制各房间配置风机盘管控制房间温度。</w:t>
            </w:r>
          </w:p>
          <w:p>
            <w:pPr>
              <w:rPr>
                <w:rFonts w:ascii="宋体" w:hAnsi="宋体"/>
                <w:color w:val="000000"/>
                <w:sz w:val="22"/>
                <w:szCs w:val="22"/>
              </w:rPr>
            </w:pPr>
            <w:r>
              <w:rPr>
                <w:rFonts w:hint="eastAsia" w:ascii="宋体" w:hAnsi="宋体"/>
                <w:color w:val="000000"/>
                <w:sz w:val="22"/>
                <w:szCs w:val="22"/>
              </w:rPr>
              <w:t>3.2.2 PCR实验室、缓冲间等其它须设置独立排风系统的地方均设置排风系统，经粗效过滤后排出。</w:t>
            </w:r>
          </w:p>
          <w:p>
            <w:pPr>
              <w:rPr>
                <w:rFonts w:ascii="宋体" w:hAnsi="宋体"/>
                <w:color w:val="000000"/>
                <w:sz w:val="22"/>
                <w:szCs w:val="22"/>
              </w:rPr>
            </w:pPr>
            <w:r>
              <w:rPr>
                <w:rFonts w:hint="eastAsia" w:ascii="宋体" w:hAnsi="宋体"/>
                <w:color w:val="000000"/>
                <w:sz w:val="22"/>
                <w:szCs w:val="22"/>
              </w:rPr>
              <w:t>3.2.3 风管支管采用定风量调节阀进行控制。</w:t>
            </w:r>
          </w:p>
          <w:p>
            <w:pPr>
              <w:rPr>
                <w:rFonts w:ascii="宋体" w:hAnsi="宋体"/>
                <w:color w:val="000000"/>
                <w:sz w:val="22"/>
                <w:szCs w:val="22"/>
              </w:rPr>
            </w:pPr>
            <w:r>
              <w:rPr>
                <w:rFonts w:hint="eastAsia" w:ascii="宋体" w:hAnsi="宋体"/>
                <w:color w:val="000000"/>
                <w:sz w:val="22"/>
                <w:szCs w:val="22"/>
              </w:rPr>
              <w:t>3.2.4 PCR实验室排风系统采用定风量调节阀进行控制。</w:t>
            </w:r>
          </w:p>
          <w:p>
            <w:pPr>
              <w:rPr>
                <w:rFonts w:ascii="宋体" w:hAnsi="宋体"/>
                <w:color w:val="000000"/>
                <w:sz w:val="22"/>
                <w:szCs w:val="22"/>
              </w:rPr>
            </w:pPr>
            <w:r>
              <w:rPr>
                <w:rFonts w:hint="eastAsia" w:ascii="宋体" w:hAnsi="宋体"/>
                <w:color w:val="000000"/>
                <w:sz w:val="22"/>
                <w:szCs w:val="22"/>
              </w:rPr>
              <w:t>3.3 PCR实验室的气流组织</w:t>
            </w:r>
          </w:p>
          <w:p>
            <w:pPr>
              <w:rPr>
                <w:rFonts w:ascii="宋体" w:hAnsi="宋体"/>
                <w:color w:val="000000"/>
                <w:sz w:val="22"/>
                <w:szCs w:val="22"/>
              </w:rPr>
            </w:pPr>
            <w:r>
              <w:rPr>
                <w:rFonts w:hint="eastAsia" w:ascii="宋体" w:hAnsi="宋体"/>
                <w:color w:val="000000"/>
                <w:sz w:val="22"/>
                <w:szCs w:val="22"/>
              </w:rPr>
              <w:t>整体要求： 针对本项目空调系统“隔离” 的特点， 空调净化系统主要保证各功能区之间维持一定的负压差， 并使空气在负压差的作用下按一定的压力梯度形成定向的气流组织。压力梯度是使形成有序的压力差值， 保证空气形成定向气流，阻止空气外溢。</w:t>
            </w:r>
          </w:p>
          <w:p>
            <w:pPr>
              <w:rPr>
                <w:rFonts w:ascii="宋体" w:hAnsi="宋体"/>
                <w:color w:val="000000"/>
                <w:sz w:val="22"/>
                <w:szCs w:val="22"/>
              </w:rPr>
            </w:pPr>
            <w:r>
              <w:rPr>
                <w:rFonts w:hint="eastAsia" w:ascii="宋体" w:hAnsi="宋体"/>
                <w:color w:val="000000"/>
                <w:sz w:val="22"/>
                <w:szCs w:val="22"/>
              </w:rPr>
              <w:t>3.3.1 PCR实验室及其缓冲间设置高效送风口及排风口，气流组织均采用顶送风下侧全排风；高效送风口的高效过滤器的过滤效率均为 H14，排风口均采用高效过滤器。</w:t>
            </w:r>
          </w:p>
          <w:p>
            <w:pPr>
              <w:rPr>
                <w:rFonts w:ascii="宋体" w:hAnsi="宋体"/>
                <w:color w:val="000000"/>
                <w:sz w:val="22"/>
                <w:szCs w:val="22"/>
              </w:rPr>
            </w:pPr>
            <w:r>
              <w:rPr>
                <w:rFonts w:hint="eastAsia" w:ascii="宋体" w:hAnsi="宋体"/>
                <w:color w:val="000000"/>
                <w:sz w:val="22"/>
                <w:szCs w:val="22"/>
              </w:rPr>
              <w:t>3.3.2 所有下侧排风口洞口下边离地面不应低于 0.1m。</w:t>
            </w:r>
          </w:p>
          <w:p>
            <w:pPr>
              <w:rPr>
                <w:rFonts w:ascii="宋体" w:hAnsi="宋体"/>
                <w:color w:val="000000"/>
                <w:sz w:val="22"/>
                <w:szCs w:val="22"/>
              </w:rPr>
            </w:pPr>
            <w:r>
              <w:rPr>
                <w:rFonts w:hint="eastAsia" w:ascii="宋体" w:hAnsi="宋体"/>
                <w:color w:val="000000"/>
                <w:sz w:val="22"/>
                <w:szCs w:val="22"/>
              </w:rPr>
              <w:t>3.3.3 PCR实验室必须采用符合国家标准的洁净专用送风口。</w:t>
            </w:r>
          </w:p>
          <w:p>
            <w:pPr>
              <w:rPr>
                <w:rFonts w:ascii="宋体" w:hAnsi="宋体"/>
                <w:color w:val="000000"/>
                <w:sz w:val="22"/>
                <w:szCs w:val="22"/>
              </w:rPr>
            </w:pPr>
            <w:r>
              <w:rPr>
                <w:rFonts w:hint="eastAsia" w:ascii="宋体" w:hAnsi="宋体"/>
                <w:color w:val="000000"/>
                <w:sz w:val="22"/>
                <w:szCs w:val="22"/>
              </w:rPr>
              <w:t>3.4 PCR实验室的空调配置</w:t>
            </w:r>
          </w:p>
          <w:p>
            <w:pPr>
              <w:rPr>
                <w:rFonts w:ascii="宋体" w:hAnsi="宋体"/>
                <w:color w:val="000000"/>
                <w:sz w:val="22"/>
                <w:szCs w:val="22"/>
              </w:rPr>
            </w:pPr>
            <w:r>
              <w:rPr>
                <w:rFonts w:hint="eastAsia" w:ascii="宋体" w:hAnsi="宋体"/>
                <w:color w:val="000000"/>
                <w:sz w:val="22"/>
                <w:szCs w:val="22"/>
              </w:rPr>
              <w:t>3.4.1 空调系统</w:t>
            </w:r>
          </w:p>
          <w:p>
            <w:pPr>
              <w:rPr>
                <w:rFonts w:ascii="宋体" w:hAnsi="宋体"/>
                <w:color w:val="000000"/>
                <w:sz w:val="22"/>
                <w:szCs w:val="22"/>
              </w:rPr>
            </w:pPr>
            <w:r>
              <w:rPr>
                <w:rFonts w:hint="eastAsia" w:ascii="宋体" w:hAnsi="宋体"/>
                <w:color w:val="000000"/>
                <w:sz w:val="22"/>
                <w:szCs w:val="22"/>
              </w:rPr>
              <w:t>新风机组：风量4000m3/h，制冷量9.6kw，制热量10.56kw；</w:t>
            </w:r>
          </w:p>
          <w:p>
            <w:pPr>
              <w:rPr>
                <w:rFonts w:ascii="宋体" w:hAnsi="宋体"/>
                <w:color w:val="000000"/>
                <w:sz w:val="22"/>
                <w:szCs w:val="22"/>
              </w:rPr>
            </w:pPr>
            <w:r>
              <w:rPr>
                <w:rFonts w:hint="eastAsia" w:ascii="宋体" w:hAnsi="宋体"/>
                <w:color w:val="000000"/>
                <w:sz w:val="22"/>
                <w:szCs w:val="22"/>
              </w:rPr>
              <w:t>排风机：风量500m3/h；</w:t>
            </w:r>
          </w:p>
          <w:p>
            <w:pPr>
              <w:rPr>
                <w:rFonts w:ascii="宋体" w:hAnsi="宋体"/>
                <w:color w:val="000000"/>
                <w:sz w:val="22"/>
                <w:szCs w:val="22"/>
              </w:rPr>
            </w:pPr>
            <w:r>
              <w:rPr>
                <w:rFonts w:hint="eastAsia" w:ascii="宋体" w:hAnsi="宋体"/>
                <w:color w:val="000000"/>
                <w:sz w:val="22"/>
                <w:szCs w:val="22"/>
              </w:rPr>
              <w:t>排风机：风量2000m3/h；</w:t>
            </w:r>
          </w:p>
          <w:p>
            <w:pPr>
              <w:rPr>
                <w:rFonts w:ascii="宋体" w:hAnsi="宋体"/>
                <w:color w:val="000000"/>
                <w:sz w:val="22"/>
                <w:szCs w:val="22"/>
              </w:rPr>
            </w:pPr>
            <w:r>
              <w:rPr>
                <w:rFonts w:hint="eastAsia" w:ascii="宋体" w:hAnsi="宋体"/>
                <w:color w:val="000000"/>
                <w:sz w:val="22"/>
                <w:szCs w:val="22"/>
              </w:rPr>
              <w:t>排风机：风量2500m3/h；</w:t>
            </w:r>
          </w:p>
          <w:p>
            <w:pPr>
              <w:rPr>
                <w:rFonts w:ascii="宋体" w:hAnsi="宋体"/>
                <w:color w:val="000000"/>
                <w:sz w:val="22"/>
                <w:szCs w:val="22"/>
              </w:rPr>
            </w:pPr>
            <w:r>
              <w:rPr>
                <w:rFonts w:hint="eastAsia" w:ascii="宋体" w:hAnsi="宋体"/>
                <w:color w:val="000000"/>
                <w:sz w:val="22"/>
                <w:szCs w:val="22"/>
              </w:rPr>
              <w:t>风机盘管：FP-68,制冷量4.4kw,</w:t>
            </w:r>
          </w:p>
          <w:p>
            <w:pPr>
              <w:rPr>
                <w:rFonts w:ascii="宋体" w:hAnsi="宋体"/>
                <w:color w:val="000000"/>
                <w:sz w:val="22"/>
                <w:szCs w:val="22"/>
              </w:rPr>
            </w:pPr>
            <w:r>
              <w:rPr>
                <w:rFonts w:hint="eastAsia" w:ascii="宋体" w:hAnsi="宋体"/>
                <w:color w:val="000000"/>
                <w:sz w:val="22"/>
                <w:szCs w:val="22"/>
              </w:rPr>
              <w:t>3.4.2 本工程的送风采用净化机组，新风入口处设置手动密闭风阀；机组可采用定向风量控制，保证冬季室内温度达到 18℃-26℃，夏季室内温度达到 22℃-26℃。</w:t>
            </w:r>
          </w:p>
          <w:p>
            <w:pPr>
              <w:rPr>
                <w:rFonts w:ascii="宋体" w:hAnsi="宋体"/>
                <w:color w:val="000000"/>
                <w:sz w:val="22"/>
                <w:szCs w:val="22"/>
              </w:rPr>
            </w:pPr>
            <w:r>
              <w:rPr>
                <w:rFonts w:hint="eastAsia" w:ascii="宋体" w:hAnsi="宋体"/>
                <w:color w:val="000000"/>
                <w:sz w:val="22"/>
                <w:szCs w:val="22"/>
              </w:rPr>
              <w:t>3.4.3 净化空调机组内表面及内置零部件应选用耐消毒药品腐蚀的材质或面层，材质表面应光洁，内部结构应便于清洗，并能顺利排放清洗废水，不易结尘、滋生细菌。</w:t>
            </w:r>
          </w:p>
          <w:p>
            <w:pPr>
              <w:rPr>
                <w:rFonts w:ascii="宋体" w:hAnsi="宋体"/>
                <w:color w:val="000000"/>
                <w:sz w:val="22"/>
                <w:szCs w:val="22"/>
              </w:rPr>
            </w:pPr>
            <w:r>
              <w:rPr>
                <w:rFonts w:hint="eastAsia" w:ascii="宋体" w:hAnsi="宋体"/>
                <w:color w:val="000000"/>
                <w:sz w:val="22"/>
                <w:szCs w:val="22"/>
              </w:rPr>
              <w:t>3.4.4 表冷器的冷凝水排出口应具备自动防倒吸功能，并在负压时能顺利排出冷凝水的装置，凝结水管不能直接与排水管道相接。</w:t>
            </w:r>
          </w:p>
          <w:p>
            <w:pPr>
              <w:rPr>
                <w:rFonts w:ascii="宋体" w:hAnsi="宋体"/>
                <w:color w:val="000000"/>
                <w:sz w:val="22"/>
                <w:szCs w:val="22"/>
              </w:rPr>
            </w:pPr>
            <w:r>
              <w:rPr>
                <w:rFonts w:hint="eastAsia" w:ascii="宋体" w:hAnsi="宋体"/>
                <w:color w:val="000000"/>
                <w:sz w:val="22"/>
                <w:szCs w:val="22"/>
              </w:rPr>
              <w:t>3.4.5 机组内各级空气过滤器前后应设置压差计，测量接管应通畅，安装严密。</w:t>
            </w:r>
          </w:p>
          <w:p>
            <w:pPr>
              <w:rPr>
                <w:rFonts w:ascii="宋体" w:hAnsi="宋体"/>
                <w:color w:val="000000"/>
                <w:sz w:val="22"/>
                <w:szCs w:val="22"/>
              </w:rPr>
            </w:pPr>
            <w:r>
              <w:rPr>
                <w:rFonts w:hint="eastAsia" w:ascii="宋体" w:hAnsi="宋体"/>
                <w:color w:val="000000"/>
                <w:sz w:val="22"/>
                <w:szCs w:val="22"/>
              </w:rPr>
              <w:t>3.4.6 空调机组箱体的密封可靠。箱体采用良好的密封结构，且机组在保持国标要求测试条件正压 700Pa 静压或负压 400Pa 静压下漏风率测试小于 0.1%。</w:t>
            </w:r>
          </w:p>
          <w:p>
            <w:pPr>
              <w:rPr>
                <w:rFonts w:ascii="宋体" w:hAnsi="宋体"/>
                <w:color w:val="000000"/>
                <w:sz w:val="22"/>
                <w:szCs w:val="22"/>
              </w:rPr>
            </w:pPr>
            <w:r>
              <w:rPr>
                <w:rFonts w:hint="eastAsia" w:ascii="宋体" w:hAnsi="宋体"/>
                <w:color w:val="000000"/>
                <w:sz w:val="22"/>
                <w:szCs w:val="22"/>
              </w:rPr>
              <w:t>3.4.7 箱体采用双层结构、无冷桥内框架设计；机组骨架及面板的保温隔热效果好，双层面板的中间夹以足够厚的阻燃型无氟聚氨酯发泡保温材料，密度≥48kg/m³，箱板厚≥25mm。</w:t>
            </w:r>
          </w:p>
          <w:p>
            <w:pPr>
              <w:rPr>
                <w:rFonts w:ascii="宋体" w:hAnsi="宋体"/>
                <w:color w:val="000000"/>
                <w:sz w:val="22"/>
                <w:szCs w:val="22"/>
              </w:rPr>
            </w:pPr>
            <w:r>
              <w:rPr>
                <w:rFonts w:hint="eastAsia" w:ascii="宋体" w:hAnsi="宋体"/>
                <w:color w:val="000000"/>
                <w:sz w:val="22"/>
                <w:szCs w:val="22"/>
              </w:rPr>
              <w:t>3.4.8 机组骨架及面板强度高，机组在最大静压下， 面板和框架应能承受持久的扭曲但不产生永久变形。强度需达到 D1 级或满足标准执行GB/T 14294-2008 的要求，而且机组在 1000Pa 正压/负压测试时箱体变形量≤1mm/m。</w:t>
            </w:r>
          </w:p>
          <w:p>
            <w:pPr>
              <w:rPr>
                <w:rFonts w:ascii="宋体" w:hAnsi="宋体"/>
                <w:color w:val="000000"/>
                <w:sz w:val="22"/>
                <w:szCs w:val="22"/>
              </w:rPr>
            </w:pPr>
            <w:r>
              <w:rPr>
                <w:rFonts w:hint="eastAsia" w:ascii="宋体" w:hAnsi="宋体"/>
                <w:color w:val="000000"/>
                <w:sz w:val="22"/>
                <w:szCs w:val="22"/>
              </w:rPr>
              <w:t>3.4.9 过滤器：</w:t>
            </w:r>
          </w:p>
          <w:p>
            <w:pPr>
              <w:rPr>
                <w:rFonts w:ascii="宋体" w:hAnsi="宋体"/>
                <w:color w:val="000000"/>
                <w:sz w:val="22"/>
                <w:szCs w:val="22"/>
              </w:rPr>
            </w:pPr>
            <w:r>
              <w:rPr>
                <w:rFonts w:hint="eastAsia" w:ascii="宋体" w:hAnsi="宋体"/>
                <w:color w:val="000000"/>
                <w:sz w:val="22"/>
                <w:szCs w:val="22"/>
              </w:rPr>
              <w:t>（1） 空气处理设备留有检修及更换过滤器的空间，方便拆卸更换。</w:t>
            </w:r>
          </w:p>
          <w:p>
            <w:pPr>
              <w:rPr>
                <w:rFonts w:ascii="宋体" w:hAnsi="宋体"/>
                <w:color w:val="000000"/>
                <w:sz w:val="22"/>
                <w:szCs w:val="22"/>
              </w:rPr>
            </w:pPr>
            <w:r>
              <w:rPr>
                <w:rFonts w:hint="eastAsia" w:ascii="宋体" w:hAnsi="宋体"/>
                <w:color w:val="000000"/>
                <w:sz w:val="22"/>
                <w:szCs w:val="22"/>
              </w:rPr>
              <w:t>（2） 通过过滤器的表面风速不超过过滤器制造厂商建议的断面风速，过滤器的进风断面风速均匀度应大于 85%。</w:t>
            </w:r>
          </w:p>
          <w:p>
            <w:pPr>
              <w:rPr>
                <w:rFonts w:ascii="宋体" w:hAnsi="宋体"/>
                <w:color w:val="000000"/>
                <w:sz w:val="22"/>
                <w:szCs w:val="22"/>
              </w:rPr>
            </w:pPr>
            <w:r>
              <w:rPr>
                <w:rFonts w:hint="eastAsia" w:ascii="宋体" w:hAnsi="宋体"/>
                <w:color w:val="000000"/>
                <w:sz w:val="22"/>
                <w:szCs w:val="22"/>
              </w:rPr>
              <w:t>3.4.10 表冷器盘管具备专业的盘管选型软件， 确保生产的表冷器在温湿度控制精度方面满足使用要求，冷凝水盘采用 304 不锈钢板材质制作，减少细菌滋生。</w:t>
            </w:r>
          </w:p>
          <w:p>
            <w:pPr>
              <w:rPr>
                <w:rFonts w:ascii="宋体" w:hAnsi="宋体"/>
                <w:color w:val="000000"/>
                <w:sz w:val="22"/>
                <w:szCs w:val="22"/>
              </w:rPr>
            </w:pPr>
            <w:r>
              <w:rPr>
                <w:rFonts w:hint="eastAsia" w:ascii="宋体" w:hAnsi="宋体"/>
                <w:color w:val="000000"/>
                <w:sz w:val="22"/>
                <w:szCs w:val="22"/>
              </w:rPr>
              <w:t>3.4.11 所有机组的风量、制冷量、制热量、风机功率严格按规范设计。</w:t>
            </w:r>
          </w:p>
          <w:p>
            <w:pPr>
              <w:rPr>
                <w:rFonts w:ascii="宋体" w:hAnsi="宋体"/>
                <w:color w:val="000000"/>
                <w:sz w:val="22"/>
                <w:szCs w:val="22"/>
              </w:rPr>
            </w:pPr>
            <w:r>
              <w:rPr>
                <w:rFonts w:hint="eastAsia" w:ascii="宋体" w:hAnsi="宋体"/>
                <w:color w:val="000000"/>
                <w:sz w:val="22"/>
                <w:szCs w:val="22"/>
              </w:rPr>
              <w:t>3.5、 空调系统设备：</w:t>
            </w:r>
          </w:p>
          <w:p>
            <w:pPr>
              <w:rPr>
                <w:rFonts w:ascii="宋体" w:hAnsi="宋体"/>
                <w:color w:val="000000"/>
                <w:sz w:val="22"/>
                <w:szCs w:val="22"/>
              </w:rPr>
            </w:pPr>
            <w:r>
              <w:rPr>
                <w:rFonts w:hint="eastAsia" w:ascii="宋体" w:hAnsi="宋体"/>
                <w:color w:val="000000"/>
                <w:sz w:val="22"/>
                <w:szCs w:val="22"/>
              </w:rPr>
              <w:t>3.5.1 消声器或消声部件的用材：耐腐蚀、不吸潮、不积尘、不产尘，为微穿孔型的，每个空调系统均配置微穿孔型消声器。</w:t>
            </w:r>
          </w:p>
          <w:p>
            <w:pPr>
              <w:rPr>
                <w:rFonts w:ascii="宋体" w:hAnsi="宋体"/>
                <w:color w:val="000000"/>
                <w:sz w:val="22"/>
                <w:szCs w:val="22"/>
              </w:rPr>
            </w:pPr>
            <w:r>
              <w:rPr>
                <w:rFonts w:hint="eastAsia" w:ascii="宋体" w:hAnsi="宋体"/>
                <w:color w:val="000000"/>
                <w:sz w:val="22"/>
                <w:szCs w:val="22"/>
              </w:rPr>
              <w:t>3.5.2 净化空调中的各级过滤器应采用一次性抛弃型，末级过滤器应采用不吸潮、 不长菌的材料制作，成品无刺激味。</w:t>
            </w:r>
          </w:p>
          <w:p>
            <w:pPr>
              <w:rPr>
                <w:rFonts w:ascii="宋体" w:hAnsi="宋体"/>
                <w:color w:val="000000"/>
                <w:sz w:val="22"/>
                <w:szCs w:val="22"/>
              </w:rPr>
            </w:pPr>
            <w:r>
              <w:rPr>
                <w:rFonts w:hint="eastAsia" w:ascii="宋体" w:hAnsi="宋体"/>
                <w:color w:val="000000"/>
                <w:sz w:val="22"/>
                <w:szCs w:val="22"/>
              </w:rPr>
              <w:t>3.5.3 排风机组采用高效静音风机箱，排风机组可实现变频控制。</w:t>
            </w:r>
          </w:p>
          <w:p>
            <w:pPr>
              <w:rPr>
                <w:rFonts w:ascii="宋体" w:hAnsi="宋体"/>
                <w:color w:val="000000"/>
                <w:sz w:val="22"/>
                <w:szCs w:val="22"/>
              </w:rPr>
            </w:pPr>
            <w:r>
              <w:rPr>
                <w:rFonts w:hint="eastAsia" w:ascii="宋体" w:hAnsi="宋体"/>
                <w:color w:val="000000"/>
                <w:sz w:val="22"/>
                <w:szCs w:val="22"/>
              </w:rPr>
              <w:t>3.5.4 新风口需安装新风百叶及初效过滤器；PCR实验室和必要的辅助用房均设置专用排风柜系统，排风系统内设置高效过滤器、定风量阀、止回阀及密闭阀， 出口处均设防雨百叶。排风机与对应的空调机组及室内病房门联动。</w:t>
            </w:r>
          </w:p>
          <w:p>
            <w:pPr>
              <w:rPr>
                <w:rFonts w:ascii="宋体" w:hAnsi="宋体"/>
                <w:color w:val="000000"/>
                <w:sz w:val="22"/>
                <w:szCs w:val="22"/>
              </w:rPr>
            </w:pPr>
            <w:r>
              <w:rPr>
                <w:rFonts w:hint="eastAsia" w:ascii="宋体" w:hAnsi="宋体"/>
                <w:color w:val="000000"/>
                <w:sz w:val="22"/>
                <w:szCs w:val="22"/>
              </w:rPr>
              <w:t>3.5.5 各净化空调系统通风系统上均按照规范还需要配置风阀、风量测定孔、防火阀、消音装置、送风口和回风口；冷热水管道按照规范还需要配置冷热水阀、排气阀和排污阀、温度表和压力表等。</w:t>
            </w:r>
          </w:p>
          <w:p>
            <w:pPr>
              <w:rPr>
                <w:rFonts w:ascii="宋体" w:hAnsi="宋体"/>
                <w:color w:val="000000"/>
                <w:sz w:val="22"/>
                <w:szCs w:val="22"/>
              </w:rPr>
            </w:pPr>
            <w:r>
              <w:rPr>
                <w:rFonts w:hint="eastAsia" w:ascii="宋体" w:hAnsi="宋体"/>
                <w:color w:val="000000"/>
                <w:sz w:val="22"/>
                <w:szCs w:val="22"/>
              </w:rPr>
              <w:t>3.5.6 所有净化空调和风管及风管附件，除满足一般通风空调系统的规范要求外，还必须满足净化空调的特殊要求，风管材料采用优质镀锌钢板制作（符合《通风与空调工程施工质量验收规范》GB50243-2002），法兰连接，每隔一段距离设置检查口及清扫口，保温材料采用难燃橡塑保温材料。</w:t>
            </w:r>
          </w:p>
          <w:p>
            <w:pPr>
              <w:rPr>
                <w:rFonts w:ascii="宋体" w:hAnsi="宋体"/>
                <w:color w:val="000000"/>
                <w:sz w:val="22"/>
                <w:szCs w:val="22"/>
              </w:rPr>
            </w:pPr>
            <w:r>
              <w:rPr>
                <w:rFonts w:hint="eastAsia" w:ascii="宋体" w:hAnsi="宋体"/>
                <w:color w:val="000000"/>
                <w:sz w:val="22"/>
                <w:szCs w:val="22"/>
              </w:rPr>
              <w:t>3.6 空调自控系统</w:t>
            </w:r>
          </w:p>
          <w:p>
            <w:pPr>
              <w:rPr>
                <w:rFonts w:ascii="宋体" w:hAnsi="宋体"/>
                <w:color w:val="000000"/>
                <w:sz w:val="22"/>
                <w:szCs w:val="22"/>
              </w:rPr>
            </w:pPr>
            <w:r>
              <w:rPr>
                <w:rFonts w:hint="eastAsia" w:ascii="宋体" w:hAnsi="宋体"/>
                <w:color w:val="000000"/>
                <w:sz w:val="22"/>
                <w:szCs w:val="22"/>
              </w:rPr>
              <w:t>3.6.1 采用多功能控制器，温、湿度传感器，压差开关、风阀执行器、模拟比例调节阀、变频器等暖通自控设备对PCR实验室各区域送风、排风、回风系统的风量、风压、梯级压力压差及温湿度进行系统化多点控制和显示。</w:t>
            </w:r>
          </w:p>
          <w:p>
            <w:pPr>
              <w:rPr>
                <w:rFonts w:ascii="宋体" w:hAnsi="宋体"/>
                <w:color w:val="000000"/>
                <w:sz w:val="22"/>
                <w:szCs w:val="22"/>
              </w:rPr>
            </w:pPr>
            <w:r>
              <w:rPr>
                <w:rFonts w:hint="eastAsia" w:ascii="宋体" w:hAnsi="宋体"/>
                <w:color w:val="000000"/>
                <w:sz w:val="22"/>
                <w:szCs w:val="22"/>
              </w:rPr>
              <w:t>3.6.2 净化空调控制系统的控制必需满足机房本地控制和实验室内远程控制的功能需求。</w:t>
            </w:r>
          </w:p>
          <w:p>
            <w:pPr>
              <w:rPr>
                <w:rFonts w:ascii="宋体" w:hAnsi="宋体"/>
                <w:color w:val="000000"/>
                <w:sz w:val="22"/>
                <w:szCs w:val="22"/>
              </w:rPr>
            </w:pPr>
            <w:r>
              <w:rPr>
                <w:rFonts w:hint="eastAsia" w:ascii="宋体" w:hAnsi="宋体"/>
                <w:color w:val="000000"/>
                <w:sz w:val="22"/>
                <w:szCs w:val="22"/>
              </w:rPr>
              <w:t>3.6.3 控制室内空调控制面板应可以实现以下的控制功能：</w:t>
            </w:r>
          </w:p>
          <w:p>
            <w:pPr>
              <w:rPr>
                <w:rFonts w:ascii="宋体" w:hAnsi="宋体"/>
                <w:color w:val="000000"/>
                <w:sz w:val="22"/>
                <w:szCs w:val="22"/>
              </w:rPr>
            </w:pPr>
            <w:r>
              <w:rPr>
                <w:rFonts w:hint="eastAsia" w:ascii="宋体" w:hAnsi="宋体"/>
                <w:color w:val="000000"/>
                <w:sz w:val="22"/>
                <w:szCs w:val="22"/>
              </w:rPr>
              <w:t>①机组启、 停；</w:t>
            </w:r>
          </w:p>
          <w:p>
            <w:pPr>
              <w:rPr>
                <w:rFonts w:ascii="宋体" w:hAnsi="宋体"/>
                <w:color w:val="000000"/>
                <w:sz w:val="22"/>
                <w:szCs w:val="22"/>
              </w:rPr>
            </w:pPr>
            <w:r>
              <w:rPr>
                <w:rFonts w:hint="eastAsia" w:ascii="宋体" w:hAnsi="宋体"/>
                <w:color w:val="000000"/>
                <w:sz w:val="22"/>
                <w:szCs w:val="22"/>
              </w:rPr>
              <w:t>②值班运行/全风量运行转换；</w:t>
            </w:r>
          </w:p>
          <w:p>
            <w:pPr>
              <w:rPr>
                <w:rFonts w:ascii="宋体" w:hAnsi="宋体"/>
                <w:color w:val="000000"/>
                <w:sz w:val="22"/>
                <w:szCs w:val="22"/>
              </w:rPr>
            </w:pPr>
            <w:r>
              <w:rPr>
                <w:rFonts w:hint="eastAsia" w:ascii="宋体" w:hAnsi="宋体"/>
                <w:color w:val="000000"/>
                <w:sz w:val="22"/>
                <w:szCs w:val="22"/>
              </w:rPr>
              <w:t>③温度的设定；</w:t>
            </w:r>
          </w:p>
          <w:p>
            <w:pPr>
              <w:rPr>
                <w:rFonts w:ascii="宋体" w:hAnsi="宋体"/>
                <w:color w:val="000000"/>
                <w:sz w:val="22"/>
                <w:szCs w:val="22"/>
              </w:rPr>
            </w:pPr>
            <w:r>
              <w:rPr>
                <w:rFonts w:hint="eastAsia" w:ascii="宋体" w:hAnsi="宋体"/>
                <w:color w:val="000000"/>
                <w:sz w:val="22"/>
                <w:szCs w:val="22"/>
              </w:rPr>
              <w:t>④室内温、 湿度的显示；</w:t>
            </w:r>
          </w:p>
          <w:p>
            <w:pPr>
              <w:rPr>
                <w:rFonts w:ascii="宋体" w:hAnsi="宋体"/>
                <w:color w:val="000000"/>
                <w:sz w:val="22"/>
                <w:szCs w:val="22"/>
              </w:rPr>
            </w:pPr>
            <w:r>
              <w:rPr>
                <w:rFonts w:hint="eastAsia" w:ascii="宋体" w:hAnsi="宋体"/>
                <w:color w:val="000000"/>
                <w:sz w:val="22"/>
                <w:szCs w:val="22"/>
              </w:rPr>
              <w:t>⑤机组启、 停指示；</w:t>
            </w:r>
          </w:p>
          <w:p>
            <w:pPr>
              <w:rPr>
                <w:rFonts w:ascii="宋体" w:hAnsi="宋体"/>
                <w:color w:val="000000"/>
                <w:sz w:val="22"/>
                <w:szCs w:val="22"/>
              </w:rPr>
            </w:pPr>
            <w:r>
              <w:rPr>
                <w:rFonts w:hint="eastAsia" w:ascii="宋体" w:hAnsi="宋体"/>
                <w:color w:val="000000"/>
                <w:sz w:val="22"/>
                <w:szCs w:val="22"/>
              </w:rPr>
              <w:t>⑥机组值班状态指示；</w:t>
            </w:r>
          </w:p>
          <w:p>
            <w:pPr>
              <w:rPr>
                <w:rFonts w:ascii="宋体" w:hAnsi="宋体"/>
                <w:color w:val="000000"/>
                <w:sz w:val="22"/>
                <w:szCs w:val="22"/>
              </w:rPr>
            </w:pPr>
            <w:r>
              <w:rPr>
                <w:rFonts w:hint="eastAsia" w:ascii="宋体" w:hAnsi="宋体"/>
                <w:color w:val="000000"/>
                <w:sz w:val="22"/>
                <w:szCs w:val="22"/>
              </w:rPr>
              <w:t>⑦机组运行指示；</w:t>
            </w:r>
          </w:p>
          <w:p>
            <w:pPr>
              <w:rPr>
                <w:rFonts w:ascii="宋体" w:hAnsi="宋体"/>
                <w:color w:val="000000"/>
                <w:sz w:val="22"/>
                <w:szCs w:val="22"/>
              </w:rPr>
            </w:pPr>
            <w:r>
              <w:rPr>
                <w:rFonts w:hint="eastAsia" w:ascii="宋体" w:hAnsi="宋体"/>
                <w:color w:val="000000"/>
                <w:sz w:val="22"/>
                <w:szCs w:val="22"/>
              </w:rPr>
              <w:t>⑧机组故障指示；</w:t>
            </w:r>
          </w:p>
          <w:p>
            <w:pPr>
              <w:rPr>
                <w:rFonts w:ascii="宋体" w:hAnsi="宋体"/>
                <w:color w:val="000000"/>
                <w:sz w:val="22"/>
                <w:szCs w:val="22"/>
              </w:rPr>
            </w:pPr>
            <w:r>
              <w:rPr>
                <w:rFonts w:hint="eastAsia" w:ascii="宋体" w:hAnsi="宋体"/>
                <w:color w:val="000000"/>
                <w:sz w:val="22"/>
                <w:szCs w:val="22"/>
              </w:rPr>
              <w:t>⑨过滤器堵塞报警指示；</w:t>
            </w:r>
          </w:p>
          <w:p>
            <w:pPr>
              <w:rPr>
                <w:rFonts w:ascii="宋体" w:hAnsi="宋体"/>
                <w:color w:val="000000"/>
                <w:sz w:val="22"/>
                <w:szCs w:val="22"/>
              </w:rPr>
            </w:pPr>
            <w:r>
              <w:rPr>
                <w:rFonts w:hint="eastAsia" w:ascii="宋体" w:hAnsi="宋体"/>
                <w:color w:val="000000"/>
                <w:sz w:val="22"/>
                <w:szCs w:val="22"/>
              </w:rPr>
              <w:t>⑩正负压转换控制及指示（仅正负压转换房间有此要求） 。</w:t>
            </w:r>
          </w:p>
          <w:p>
            <w:pPr>
              <w:rPr>
                <w:rFonts w:ascii="宋体" w:hAnsi="宋体"/>
                <w:color w:val="000000"/>
                <w:sz w:val="22"/>
                <w:szCs w:val="22"/>
              </w:rPr>
            </w:pPr>
            <w:r>
              <w:rPr>
                <w:rFonts w:hint="eastAsia" w:ascii="宋体" w:hAnsi="宋体"/>
                <w:color w:val="000000"/>
                <w:sz w:val="22"/>
                <w:szCs w:val="22"/>
              </w:rPr>
              <w:t>3.6.4 机房控制柜内还应实现以下的控制功能：</w:t>
            </w:r>
          </w:p>
          <w:p>
            <w:pPr>
              <w:rPr>
                <w:rFonts w:ascii="宋体" w:hAnsi="宋体"/>
                <w:color w:val="000000"/>
                <w:sz w:val="22"/>
                <w:szCs w:val="22"/>
              </w:rPr>
            </w:pPr>
            <w:r>
              <w:rPr>
                <w:rFonts w:hint="eastAsia" w:ascii="宋体" w:hAnsi="宋体"/>
                <w:color w:val="000000"/>
                <w:sz w:val="22"/>
                <w:szCs w:val="22"/>
              </w:rPr>
              <w:t>①室内控制面板实现的全部功能</w:t>
            </w:r>
          </w:p>
          <w:p>
            <w:pPr>
              <w:rPr>
                <w:rFonts w:ascii="宋体" w:hAnsi="宋体"/>
                <w:color w:val="000000"/>
                <w:sz w:val="22"/>
                <w:szCs w:val="22"/>
              </w:rPr>
            </w:pPr>
            <w:r>
              <w:rPr>
                <w:rFonts w:hint="eastAsia" w:ascii="宋体" w:hAnsi="宋体"/>
                <w:color w:val="000000"/>
                <w:sz w:val="22"/>
                <w:szCs w:val="22"/>
              </w:rPr>
              <w:t>②风机运行频率显示；</w:t>
            </w:r>
          </w:p>
          <w:p>
            <w:pPr>
              <w:rPr>
                <w:rFonts w:ascii="宋体" w:hAnsi="宋体"/>
                <w:color w:val="000000"/>
                <w:sz w:val="22"/>
                <w:szCs w:val="22"/>
              </w:rPr>
            </w:pPr>
            <w:r>
              <w:rPr>
                <w:rFonts w:hint="eastAsia" w:ascii="宋体" w:hAnsi="宋体"/>
                <w:color w:val="000000"/>
                <w:sz w:val="22"/>
                <w:szCs w:val="22"/>
              </w:rPr>
              <w:t>③过滤网堵塞报警、 缺风保护报警、 风机运行情况及过载报警、 排风</w:t>
            </w:r>
          </w:p>
          <w:p>
            <w:pPr>
              <w:rPr>
                <w:rFonts w:ascii="宋体" w:hAnsi="宋体"/>
                <w:color w:val="000000"/>
                <w:sz w:val="22"/>
                <w:szCs w:val="22"/>
              </w:rPr>
            </w:pPr>
            <w:r>
              <w:rPr>
                <w:rFonts w:hint="eastAsia" w:ascii="宋体" w:hAnsi="宋体"/>
                <w:color w:val="000000"/>
                <w:sz w:val="22"/>
                <w:szCs w:val="22"/>
              </w:rPr>
              <w:t>机运行状态显示、 加湿器运行状态和故障显示等；</w:t>
            </w:r>
          </w:p>
          <w:p>
            <w:pPr>
              <w:rPr>
                <w:rFonts w:ascii="宋体" w:hAnsi="宋体"/>
                <w:color w:val="000000"/>
                <w:sz w:val="22"/>
                <w:szCs w:val="22"/>
              </w:rPr>
            </w:pPr>
            <w:r>
              <w:rPr>
                <w:rFonts w:hint="eastAsia" w:ascii="宋体" w:hAnsi="宋体"/>
                <w:color w:val="000000"/>
                <w:sz w:val="22"/>
                <w:szCs w:val="22"/>
              </w:rPr>
              <w:t>④手、自动风量调频切换，手动频率设定、半风量值班频率设定；</w:t>
            </w:r>
          </w:p>
          <w:p>
            <w:pPr>
              <w:rPr>
                <w:rFonts w:ascii="宋体" w:hAnsi="宋体"/>
                <w:color w:val="000000"/>
                <w:sz w:val="22"/>
                <w:szCs w:val="22"/>
              </w:rPr>
            </w:pPr>
            <w:r>
              <w:rPr>
                <w:rFonts w:hint="eastAsia" w:ascii="宋体" w:hAnsi="宋体"/>
                <w:color w:val="000000"/>
                <w:sz w:val="22"/>
                <w:szCs w:val="22"/>
              </w:rPr>
              <w:t>⑤冷热水调节阀、 加湿器和电加热器工作状态；</w:t>
            </w:r>
          </w:p>
          <w:p>
            <w:pPr>
              <w:rPr>
                <w:rFonts w:ascii="宋体" w:hAnsi="宋体"/>
                <w:color w:val="000000"/>
                <w:sz w:val="22"/>
                <w:szCs w:val="22"/>
              </w:rPr>
            </w:pPr>
            <w:r>
              <w:rPr>
                <w:rFonts w:hint="eastAsia" w:ascii="宋体" w:hAnsi="宋体"/>
                <w:color w:val="000000"/>
                <w:sz w:val="22"/>
                <w:szCs w:val="22"/>
              </w:rPr>
              <w:t>⑥试灯和功能切换；</w:t>
            </w:r>
          </w:p>
          <w:p>
            <w:pPr>
              <w:rPr>
                <w:rFonts w:ascii="宋体" w:hAnsi="宋体"/>
                <w:color w:val="000000"/>
                <w:sz w:val="22"/>
                <w:szCs w:val="22"/>
              </w:rPr>
            </w:pPr>
            <w:r>
              <w:rPr>
                <w:rFonts w:hint="eastAsia" w:ascii="宋体" w:hAnsi="宋体"/>
                <w:color w:val="000000"/>
                <w:sz w:val="22"/>
                <w:szCs w:val="22"/>
              </w:rPr>
              <w:t>⑦各种控制参数（室内温、湿度；变频器频率等）的设定和修改。</w:t>
            </w:r>
          </w:p>
          <w:p>
            <w:pPr>
              <w:rPr>
                <w:rFonts w:ascii="宋体" w:hAnsi="宋体"/>
                <w:color w:val="000000"/>
                <w:sz w:val="22"/>
                <w:szCs w:val="22"/>
              </w:rPr>
            </w:pPr>
            <w:r>
              <w:rPr>
                <w:rFonts w:hint="eastAsia" w:ascii="宋体" w:hAnsi="宋体"/>
                <w:color w:val="000000"/>
                <w:sz w:val="22"/>
                <w:szCs w:val="22"/>
              </w:rPr>
              <w:t>3.7 设备、材料及整体方案</w:t>
            </w:r>
          </w:p>
          <w:p>
            <w:pPr>
              <w:rPr>
                <w:rFonts w:ascii="宋体" w:hAnsi="宋体"/>
                <w:color w:val="000000"/>
                <w:sz w:val="22"/>
                <w:szCs w:val="22"/>
              </w:rPr>
            </w:pPr>
            <w:r>
              <w:rPr>
                <w:rFonts w:hint="eastAsia" w:ascii="宋体" w:hAnsi="宋体"/>
                <w:color w:val="000000"/>
                <w:sz w:val="22"/>
                <w:szCs w:val="22"/>
              </w:rPr>
              <w:t xml:space="preserve"> PCR实验室配置的箱、柜、盘、池、架等制作工艺要求完整严密，拼接平整，安装牢固，经久耐用。</w:t>
            </w:r>
          </w:p>
          <w:p>
            <w:pPr>
              <w:rPr>
                <w:rFonts w:ascii="宋体" w:hAnsi="宋体"/>
                <w:color w:val="000000"/>
                <w:sz w:val="22"/>
                <w:szCs w:val="22"/>
              </w:rPr>
            </w:pPr>
            <w:r>
              <w:rPr>
                <w:rFonts w:hint="eastAsia" w:ascii="宋体" w:hAnsi="宋体"/>
                <w:color w:val="000000"/>
                <w:sz w:val="22"/>
                <w:szCs w:val="22"/>
              </w:rPr>
              <w:t>3.8 空调系统测试及要求</w:t>
            </w:r>
          </w:p>
          <w:p>
            <w:pPr>
              <w:rPr>
                <w:rFonts w:ascii="宋体" w:hAnsi="宋体"/>
                <w:color w:val="000000"/>
                <w:sz w:val="22"/>
                <w:szCs w:val="22"/>
              </w:rPr>
            </w:pPr>
            <w:r>
              <w:rPr>
                <w:rFonts w:hint="eastAsia" w:ascii="宋体" w:hAnsi="宋体"/>
                <w:color w:val="000000"/>
                <w:sz w:val="22"/>
                <w:szCs w:val="22"/>
              </w:rPr>
              <w:t>3.8.1 项目交付时， 施工方邀请检验权威机构对PCR实验室工程有关项目进行测试。</w:t>
            </w:r>
          </w:p>
          <w:p>
            <w:pPr>
              <w:rPr>
                <w:rFonts w:ascii="宋体" w:hAnsi="宋体"/>
                <w:color w:val="000000"/>
                <w:sz w:val="22"/>
                <w:szCs w:val="22"/>
              </w:rPr>
            </w:pPr>
            <w:r>
              <w:rPr>
                <w:rFonts w:hint="eastAsia" w:ascii="宋体" w:hAnsi="宋体"/>
                <w:color w:val="000000"/>
                <w:sz w:val="22"/>
                <w:szCs w:val="22"/>
              </w:rPr>
              <w:t>3.8.2 测试项目为： 静压差、 送风量、 新风量、 温度、 相对湿度、 噪声、 洁净度、 照度、 室内各区域气流梯度等。</w:t>
            </w:r>
          </w:p>
          <w:p>
            <w:pPr>
              <w:rPr>
                <w:rFonts w:ascii="宋体" w:hAnsi="宋体"/>
                <w:color w:val="000000"/>
                <w:sz w:val="22"/>
                <w:szCs w:val="22"/>
              </w:rPr>
            </w:pPr>
            <w:r>
              <w:rPr>
                <w:rFonts w:hint="eastAsia" w:ascii="宋体" w:hAnsi="宋体"/>
                <w:color w:val="000000"/>
                <w:sz w:val="22"/>
                <w:szCs w:val="22"/>
              </w:rPr>
              <w:t>四）PCR实验室建筑装饰装修要求：</w:t>
            </w:r>
          </w:p>
          <w:p>
            <w:pPr>
              <w:rPr>
                <w:rFonts w:ascii="宋体" w:hAnsi="宋体"/>
                <w:color w:val="000000"/>
                <w:sz w:val="22"/>
                <w:szCs w:val="22"/>
              </w:rPr>
            </w:pPr>
            <w:r>
              <w:rPr>
                <w:rFonts w:hint="eastAsia" w:ascii="宋体" w:hAnsi="宋体"/>
                <w:color w:val="000000"/>
                <w:sz w:val="22"/>
                <w:szCs w:val="22"/>
              </w:rPr>
              <w:t>4.1 PCR实验室的建筑装饰装修应遵循不产尘、不积尘、耐腐蚀、防潮防霉、容易清洁和符合防火要求的总体原则。内与室内空气直接接触的外露材料不得使用木材和石膏。</w:t>
            </w:r>
          </w:p>
          <w:p>
            <w:pPr>
              <w:rPr>
                <w:rFonts w:ascii="宋体" w:hAnsi="宋体"/>
                <w:color w:val="000000"/>
                <w:sz w:val="22"/>
                <w:szCs w:val="22"/>
              </w:rPr>
            </w:pPr>
            <w:r>
              <w:rPr>
                <w:rFonts w:hint="eastAsia" w:ascii="宋体" w:hAnsi="宋体"/>
                <w:color w:val="000000"/>
                <w:sz w:val="22"/>
                <w:szCs w:val="22"/>
              </w:rPr>
              <w:t>4.2 墙体：</w:t>
            </w:r>
          </w:p>
          <w:p>
            <w:pPr>
              <w:rPr>
                <w:rFonts w:ascii="宋体" w:hAnsi="宋体"/>
                <w:color w:val="000000"/>
                <w:sz w:val="22"/>
                <w:szCs w:val="22"/>
              </w:rPr>
            </w:pPr>
            <w:r>
              <w:rPr>
                <w:rFonts w:hint="eastAsia" w:ascii="宋体" w:hAnsi="宋体"/>
                <w:color w:val="000000"/>
                <w:sz w:val="22"/>
                <w:szCs w:val="22"/>
              </w:rPr>
              <w:t>4.2.1 墙体选用耐清洗、耐碰撞、阻燃、隔音、保温以及防潮、防锈的钢板厚度≥0.426mm 净化彩钢板制成防菌墙面，用净化专用型材连接，墙体平整达到气密效果。</w:t>
            </w:r>
          </w:p>
          <w:p>
            <w:pPr>
              <w:rPr>
                <w:rFonts w:ascii="宋体" w:hAnsi="宋体"/>
                <w:color w:val="000000"/>
                <w:sz w:val="22"/>
                <w:szCs w:val="22"/>
              </w:rPr>
            </w:pPr>
            <w:r>
              <w:rPr>
                <w:rFonts w:hint="eastAsia" w:ascii="宋体" w:hAnsi="宋体"/>
                <w:color w:val="000000"/>
                <w:sz w:val="22"/>
                <w:szCs w:val="22"/>
              </w:rPr>
              <w:t>4.2.2 走廊阳角处安装 PVC 防撞护角到顶。</w:t>
            </w:r>
          </w:p>
          <w:p>
            <w:pPr>
              <w:rPr>
                <w:rFonts w:ascii="宋体" w:hAnsi="宋体"/>
                <w:color w:val="000000"/>
                <w:sz w:val="22"/>
                <w:szCs w:val="22"/>
              </w:rPr>
            </w:pPr>
            <w:r>
              <w:rPr>
                <w:rFonts w:hint="eastAsia" w:ascii="宋体" w:hAnsi="宋体"/>
                <w:color w:val="000000"/>
                <w:sz w:val="22"/>
                <w:szCs w:val="22"/>
              </w:rPr>
              <w:t>4.3 吊顶</w:t>
            </w:r>
          </w:p>
          <w:p>
            <w:pPr>
              <w:rPr>
                <w:rFonts w:ascii="宋体" w:hAnsi="宋体"/>
                <w:color w:val="000000"/>
                <w:sz w:val="22"/>
                <w:szCs w:val="22"/>
              </w:rPr>
            </w:pPr>
            <w:r>
              <w:rPr>
                <w:rFonts w:hint="eastAsia" w:ascii="宋体" w:hAnsi="宋体"/>
                <w:color w:val="000000"/>
                <w:sz w:val="22"/>
                <w:szCs w:val="22"/>
              </w:rPr>
              <w:t>4.3.1 整个区域吊顶全部选用耐清洗、耐碰撞、阻燃、隔音、保温以及防潮、防锈的钢板厚度≥0.426mm 净化彩钢板制成可上人形防菌顶面，用净化专用型材连接，顶面平整达到气密效果。</w:t>
            </w:r>
          </w:p>
          <w:p>
            <w:pPr>
              <w:rPr>
                <w:rFonts w:ascii="宋体" w:hAnsi="宋体"/>
                <w:color w:val="000000"/>
                <w:sz w:val="22"/>
                <w:szCs w:val="22"/>
              </w:rPr>
            </w:pPr>
            <w:r>
              <w:rPr>
                <w:rFonts w:hint="eastAsia" w:ascii="宋体" w:hAnsi="宋体"/>
                <w:color w:val="000000"/>
                <w:sz w:val="22"/>
                <w:szCs w:val="22"/>
              </w:rPr>
              <w:t>4.3.2 吊顶与墙面，墙面与墙面，墙面与地面连接无死角。</w:t>
            </w:r>
          </w:p>
          <w:p>
            <w:pPr>
              <w:rPr>
                <w:rFonts w:ascii="宋体" w:hAnsi="宋体"/>
                <w:color w:val="000000"/>
                <w:sz w:val="22"/>
                <w:szCs w:val="22"/>
              </w:rPr>
            </w:pPr>
            <w:r>
              <w:rPr>
                <w:rFonts w:hint="eastAsia" w:ascii="宋体" w:hAnsi="宋体"/>
                <w:color w:val="000000"/>
                <w:sz w:val="22"/>
                <w:szCs w:val="22"/>
              </w:rPr>
              <w:t>4.4 地面</w:t>
            </w:r>
          </w:p>
          <w:p>
            <w:pPr>
              <w:rPr>
                <w:rFonts w:ascii="宋体" w:hAnsi="宋体"/>
                <w:color w:val="000000"/>
                <w:sz w:val="22"/>
                <w:szCs w:val="22"/>
              </w:rPr>
            </w:pPr>
            <w:r>
              <w:rPr>
                <w:rFonts w:hint="eastAsia" w:ascii="宋体" w:hAnsi="宋体"/>
                <w:color w:val="000000"/>
                <w:sz w:val="22"/>
                <w:szCs w:val="22"/>
              </w:rPr>
              <w:t>4.4.1 除湿区外的所有地面均选用阻燃、防滑、防潮、防霉、防菌、耐磨、耐腐蚀、易清洗、不易起尘、不开裂防静电、防碘的 2mmPVC胶地板卷材材料制作，铺设 PVC 地板前需对地面做自流平处理。</w:t>
            </w:r>
          </w:p>
          <w:p>
            <w:pPr>
              <w:rPr>
                <w:rFonts w:ascii="宋体" w:hAnsi="宋体"/>
                <w:color w:val="000000"/>
                <w:sz w:val="22"/>
                <w:szCs w:val="22"/>
              </w:rPr>
            </w:pPr>
            <w:r>
              <w:rPr>
                <w:rFonts w:hint="eastAsia" w:ascii="宋体" w:hAnsi="宋体"/>
                <w:color w:val="000000"/>
                <w:sz w:val="22"/>
                <w:szCs w:val="22"/>
              </w:rPr>
              <w:t>4.4.2 墙面下部踢脚必须与地面成一整体，踢脚与地面交界处的阴角必须做成 R≥40mm 的圆角；其它墙体交界处的阴角做成小圆角；地面和墙面交界处进行圆弧爬墙处理，与墙面接缝处齐平或凹于墙面不做压边处理。</w:t>
            </w:r>
          </w:p>
          <w:p>
            <w:pPr>
              <w:rPr>
                <w:rFonts w:ascii="宋体" w:hAnsi="宋体"/>
                <w:color w:val="000000"/>
                <w:sz w:val="22"/>
                <w:szCs w:val="22"/>
              </w:rPr>
            </w:pPr>
            <w:r>
              <w:rPr>
                <w:rFonts w:hint="eastAsia" w:ascii="宋体" w:hAnsi="宋体"/>
                <w:color w:val="000000"/>
                <w:sz w:val="22"/>
                <w:szCs w:val="22"/>
              </w:rPr>
              <w:t>4.4.3 所有材料接缝均为热熔焊接。</w:t>
            </w:r>
          </w:p>
          <w:p>
            <w:pPr>
              <w:rPr>
                <w:rFonts w:ascii="宋体" w:hAnsi="宋体"/>
                <w:color w:val="000000"/>
                <w:sz w:val="22"/>
                <w:szCs w:val="22"/>
              </w:rPr>
            </w:pPr>
            <w:r>
              <w:rPr>
                <w:rFonts w:hint="eastAsia" w:ascii="宋体" w:hAnsi="宋体"/>
                <w:color w:val="000000"/>
                <w:sz w:val="22"/>
                <w:szCs w:val="22"/>
              </w:rPr>
              <w:t>4.5 门、窗</w:t>
            </w:r>
          </w:p>
          <w:p>
            <w:pPr>
              <w:rPr>
                <w:rFonts w:ascii="宋体" w:hAnsi="宋体"/>
                <w:color w:val="000000"/>
                <w:sz w:val="22"/>
                <w:szCs w:val="22"/>
              </w:rPr>
            </w:pPr>
            <w:r>
              <w:rPr>
                <w:rFonts w:hint="eastAsia" w:ascii="宋体" w:hAnsi="宋体"/>
                <w:color w:val="000000"/>
                <w:sz w:val="22"/>
                <w:szCs w:val="22"/>
              </w:rPr>
              <w:t>4.5.1 设置3台传递窗600*600*600,材质：不锈钢，带机械互锁功能，内置紫外线灭菌灯。</w:t>
            </w:r>
          </w:p>
          <w:p>
            <w:pPr>
              <w:rPr>
                <w:rFonts w:ascii="宋体" w:hAnsi="宋体"/>
                <w:color w:val="000000"/>
                <w:sz w:val="22"/>
                <w:szCs w:val="22"/>
              </w:rPr>
            </w:pPr>
            <w:r>
              <w:rPr>
                <w:rFonts w:hint="eastAsia" w:ascii="宋体" w:hAnsi="宋体"/>
                <w:color w:val="000000"/>
                <w:sz w:val="22"/>
                <w:szCs w:val="22"/>
              </w:rPr>
              <w:t>4.5.2 所有门门体均采用钢板制作，不锈钢包边；其中缓冲区的门带互锁功能，加装闭门器。</w:t>
            </w:r>
          </w:p>
          <w:p>
            <w:pPr>
              <w:rPr>
                <w:rFonts w:ascii="宋体" w:hAnsi="宋体"/>
                <w:color w:val="000000"/>
                <w:sz w:val="22"/>
                <w:szCs w:val="22"/>
              </w:rPr>
            </w:pPr>
            <w:r>
              <w:rPr>
                <w:rFonts w:hint="eastAsia" w:ascii="宋体" w:hAnsi="宋体"/>
                <w:color w:val="000000"/>
                <w:sz w:val="22"/>
                <w:szCs w:val="22"/>
              </w:rPr>
              <w:t>4.5.3 PCR实验室均应采用气密封门，所有外窗均应采用断桥铝钢化玻璃。</w:t>
            </w:r>
          </w:p>
          <w:p>
            <w:pPr>
              <w:rPr>
                <w:rFonts w:ascii="宋体" w:hAnsi="宋体"/>
                <w:color w:val="000000"/>
                <w:sz w:val="22"/>
                <w:szCs w:val="22"/>
              </w:rPr>
            </w:pPr>
            <w:r>
              <w:rPr>
                <w:rFonts w:hint="eastAsia" w:ascii="宋体" w:hAnsi="宋体"/>
                <w:color w:val="000000"/>
                <w:sz w:val="22"/>
                <w:szCs w:val="22"/>
              </w:rPr>
              <w:t>五）PCR实验室强电工程设计和施工要求</w:t>
            </w:r>
          </w:p>
          <w:p>
            <w:pPr>
              <w:rPr>
                <w:rFonts w:ascii="宋体" w:hAnsi="宋体"/>
                <w:color w:val="000000"/>
                <w:sz w:val="22"/>
                <w:szCs w:val="22"/>
              </w:rPr>
            </w:pPr>
            <w:r>
              <w:rPr>
                <w:rFonts w:hint="eastAsia" w:ascii="宋体" w:hAnsi="宋体"/>
                <w:color w:val="000000"/>
                <w:sz w:val="22"/>
                <w:szCs w:val="22"/>
              </w:rPr>
              <w:t>5.1 本系统采用三相五线制 TN-S 系统结构模式，采用等电位连接及共用接地点的方式，采用双电源专线供电方式（室外双电源部分由业主方完成）。所有用电设备的电气接线的电缆（线）的绝缘必须采用助燃材料。</w:t>
            </w:r>
          </w:p>
          <w:p>
            <w:pPr>
              <w:rPr>
                <w:rFonts w:ascii="宋体" w:hAnsi="宋体"/>
                <w:color w:val="000000"/>
                <w:sz w:val="22"/>
                <w:szCs w:val="22"/>
              </w:rPr>
            </w:pPr>
            <w:r>
              <w:rPr>
                <w:rFonts w:hint="eastAsia" w:ascii="宋体" w:hAnsi="宋体"/>
                <w:color w:val="000000"/>
                <w:sz w:val="22"/>
                <w:szCs w:val="22"/>
              </w:rPr>
              <w:t>5.2 照明选用嵌入式气密封 LED 照明灯盘，禁用普通灯盘代替。</w:t>
            </w:r>
          </w:p>
          <w:p>
            <w:pPr>
              <w:rPr>
                <w:rFonts w:ascii="宋体" w:hAnsi="宋体"/>
                <w:color w:val="000000"/>
                <w:sz w:val="22"/>
                <w:szCs w:val="22"/>
              </w:rPr>
            </w:pPr>
            <w:r>
              <w:rPr>
                <w:rFonts w:hint="eastAsia" w:ascii="宋体" w:hAnsi="宋体"/>
                <w:color w:val="000000"/>
                <w:sz w:val="22"/>
                <w:szCs w:val="22"/>
              </w:rPr>
              <w:t>5.3 总配电柜由采购人负责到位，之后的配电箱、桥架和所有电线、电缆、照明灯具、插座、开关等，全套电气工程由中标方设计、供货、安装。</w:t>
            </w:r>
          </w:p>
          <w:p>
            <w:pPr>
              <w:rPr>
                <w:rFonts w:ascii="宋体" w:hAnsi="宋体"/>
                <w:color w:val="000000"/>
                <w:sz w:val="22"/>
                <w:szCs w:val="22"/>
              </w:rPr>
            </w:pPr>
            <w:r>
              <w:rPr>
                <w:rFonts w:hint="eastAsia" w:ascii="宋体" w:hAnsi="宋体"/>
                <w:color w:val="000000"/>
                <w:sz w:val="22"/>
                <w:szCs w:val="22"/>
              </w:rPr>
              <w:t>六）给排水系统</w:t>
            </w:r>
          </w:p>
          <w:p>
            <w:pPr>
              <w:rPr>
                <w:rFonts w:ascii="宋体" w:hAnsi="宋体"/>
                <w:color w:val="000000"/>
                <w:sz w:val="22"/>
                <w:szCs w:val="22"/>
              </w:rPr>
            </w:pPr>
            <w:r>
              <w:rPr>
                <w:rFonts w:hint="eastAsia" w:ascii="宋体" w:hAnsi="宋体"/>
                <w:color w:val="000000"/>
                <w:sz w:val="22"/>
                <w:szCs w:val="22"/>
              </w:rPr>
              <w:t>6.1、给水管采用PPR管，排水管采用UPVC管，由施工方负责。排水需过滤杀菌后排放。</w:t>
            </w:r>
          </w:p>
          <w:p>
            <w:pPr>
              <w:rPr>
                <w:rFonts w:ascii="宋体" w:hAnsi="宋体"/>
                <w:color w:val="000000"/>
                <w:sz w:val="22"/>
                <w:szCs w:val="22"/>
              </w:rPr>
            </w:pPr>
            <w:r>
              <w:rPr>
                <w:rFonts w:hint="eastAsia" w:ascii="宋体" w:hAnsi="宋体"/>
                <w:color w:val="000000"/>
                <w:sz w:val="22"/>
                <w:szCs w:val="22"/>
              </w:rPr>
              <w:t>6.2、区域内所有刷手池及洁具的采购及安装，由施工方负责。</w:t>
            </w:r>
          </w:p>
          <w:p>
            <w:pPr>
              <w:rPr>
                <w:rFonts w:ascii="宋体" w:hAnsi="宋体"/>
                <w:color w:val="000000"/>
                <w:sz w:val="22"/>
                <w:szCs w:val="22"/>
              </w:rPr>
            </w:pPr>
            <w:r>
              <w:rPr>
                <w:rFonts w:hint="eastAsia" w:ascii="宋体" w:hAnsi="宋体"/>
                <w:color w:val="000000"/>
                <w:sz w:val="22"/>
                <w:szCs w:val="22"/>
              </w:rPr>
              <w:t>6.3、新增洗手盆位置需要重新开挖上下水管沟，铺设管道。</w:t>
            </w:r>
          </w:p>
          <w:p>
            <w:pPr>
              <w:rPr>
                <w:rFonts w:ascii="宋体" w:hAnsi="宋体"/>
                <w:color w:val="000000"/>
                <w:sz w:val="22"/>
                <w:szCs w:val="22"/>
              </w:rPr>
            </w:pPr>
            <w:r>
              <w:rPr>
                <w:rFonts w:hint="eastAsia" w:ascii="宋体" w:hAnsi="宋体"/>
                <w:color w:val="000000"/>
                <w:sz w:val="22"/>
                <w:szCs w:val="22"/>
              </w:rPr>
              <w:t>七）PCR实验室的检测及验收</w:t>
            </w:r>
          </w:p>
          <w:p>
            <w:pPr>
              <w:pStyle w:val="34"/>
              <w:ind w:firstLine="220"/>
              <w:rPr>
                <w:rFonts w:asciiTheme="majorEastAsia" w:hAnsiTheme="majorEastAsia" w:eastAsiaTheme="majorEastAsia"/>
              </w:rPr>
            </w:pPr>
            <w:r>
              <w:rPr>
                <w:rFonts w:hint="eastAsia" w:asciiTheme="majorEastAsia" w:hAnsiTheme="majorEastAsia" w:eastAsiaTheme="majorEastAsia"/>
                <w:color w:val="000000"/>
                <w:sz w:val="22"/>
                <w:szCs w:val="22"/>
              </w:rPr>
              <w:t>PCR实验室具体方案投标人可勘察现场自行设计，实验室安装完成后需要经河南省相关部门验收通过。</w:t>
            </w:r>
          </w:p>
          <w:p>
            <w:pPr>
              <w:rPr>
                <w:rFonts w:ascii="宋体" w:hAnsi="宋体"/>
                <w:color w:val="000000"/>
                <w:sz w:val="21"/>
                <w:szCs w:val="21"/>
              </w:rPr>
            </w:pPr>
          </w:p>
        </w:tc>
      </w:tr>
    </w:tbl>
    <w:p>
      <w:pPr>
        <w:widowControl/>
        <w:numPr>
          <w:ilvl w:val="3"/>
          <w:numId w:val="40"/>
        </w:numPr>
        <w:adjustRightInd w:val="0"/>
        <w:snapToGrid w:val="0"/>
        <w:spacing w:line="400" w:lineRule="exact"/>
        <w:rPr>
          <w:rFonts w:ascii="宋体" w:hAnsi="宋体"/>
          <w:b/>
          <w:color w:val="000000"/>
          <w:kern w:val="0"/>
          <w:sz w:val="32"/>
          <w:szCs w:val="32"/>
        </w:rPr>
      </w:pPr>
      <w:r>
        <w:rPr>
          <w:rFonts w:hint="eastAsia" w:ascii="宋体" w:hAnsi="宋体"/>
          <w:b/>
          <w:color w:val="000000"/>
          <w:kern w:val="0"/>
          <w:sz w:val="32"/>
          <w:szCs w:val="32"/>
        </w:rPr>
        <w:t>需要落实的政府采购政策</w:t>
      </w:r>
    </w:p>
    <w:p>
      <w:pPr>
        <w:numPr>
          <w:ilvl w:val="1"/>
          <w:numId w:val="43"/>
        </w:numPr>
        <w:spacing w:line="400" w:lineRule="exact"/>
        <w:ind w:firstLine="562" w:firstLineChars="200"/>
        <w:rPr>
          <w:rFonts w:ascii="宋体" w:hAnsi="宋体"/>
          <w:b/>
          <w:bCs/>
          <w:color w:val="000000"/>
          <w:sz w:val="28"/>
          <w:szCs w:val="28"/>
        </w:rPr>
      </w:pPr>
      <w:r>
        <w:rPr>
          <w:rFonts w:hint="eastAsia" w:ascii="宋体" w:hAnsi="宋体"/>
          <w:b/>
          <w:bCs/>
          <w:color w:val="000000"/>
          <w:sz w:val="28"/>
          <w:szCs w:val="28"/>
        </w:rPr>
        <w:t>促进中小企业、监狱企业和残疾人福利性单位发展扶持政策</w:t>
      </w:r>
    </w:p>
    <w:p>
      <w:pPr>
        <w:numPr>
          <w:ilvl w:val="2"/>
          <w:numId w:val="44"/>
        </w:numPr>
        <w:spacing w:line="440" w:lineRule="exact"/>
        <w:ind w:firstLine="480" w:firstLineChars="200"/>
        <w:rPr>
          <w:rFonts w:ascii="宋体" w:hAnsi="宋体"/>
          <w:bCs/>
          <w:szCs w:val="21"/>
        </w:rPr>
      </w:pPr>
      <w:r>
        <w:rPr>
          <w:rFonts w:hint="eastAsia" w:ascii="宋体" w:hAnsi="宋体"/>
          <w:bCs/>
          <w:szCs w:val="21"/>
        </w:rPr>
        <w:t>小型和微型企业认定：</w:t>
      </w:r>
    </w:p>
    <w:p>
      <w:pPr>
        <w:numPr>
          <w:ilvl w:val="0"/>
          <w:numId w:val="45"/>
        </w:numPr>
        <w:spacing w:line="440" w:lineRule="exact"/>
        <w:ind w:firstLine="480" w:firstLineChars="200"/>
        <w:rPr>
          <w:rFonts w:ascii="宋体" w:hAnsi="宋体"/>
          <w:bCs/>
          <w:szCs w:val="21"/>
        </w:rPr>
      </w:pPr>
      <w:r>
        <w:rPr>
          <w:rFonts w:hint="eastAsia" w:ascii="宋体" w:hAnsi="宋体"/>
          <w:bCs/>
          <w:szCs w:val="21"/>
        </w:rPr>
        <w:t>提供本企业制造的货物、承担的工程或服务的，或者提供其他小型或者微型企业制造的货物的；</w:t>
      </w:r>
    </w:p>
    <w:p>
      <w:pPr>
        <w:numPr>
          <w:ilvl w:val="0"/>
          <w:numId w:val="45"/>
        </w:numPr>
        <w:spacing w:line="440" w:lineRule="exact"/>
        <w:ind w:firstLine="480" w:firstLineChars="200"/>
        <w:rPr>
          <w:rFonts w:ascii="宋体" w:hAnsi="宋体"/>
          <w:bCs/>
          <w:szCs w:val="21"/>
        </w:rPr>
      </w:pPr>
      <w:r>
        <w:rPr>
          <w:rFonts w:hint="eastAsia" w:ascii="宋体" w:hAnsi="宋体"/>
          <w:bCs/>
          <w:szCs w:val="21"/>
        </w:rPr>
        <w:t>提供由供应商企业所在地的县级及以上中小企业主管部门出具的中小企业认定的证明材料（</w:t>
      </w:r>
      <w:r>
        <w:rPr>
          <w:rFonts w:hint="eastAsia" w:ascii="宋体" w:hAnsi="宋体"/>
          <w:b/>
          <w:bCs/>
          <w:color w:val="0000FF"/>
          <w:kern w:val="0"/>
          <w:szCs w:val="21"/>
        </w:rPr>
        <w:t>投标文件商务、技术证明文件正本中提供复印件加盖投标人公章，副本中可为正本的复印件，</w:t>
      </w:r>
      <w:r>
        <w:rPr>
          <w:rFonts w:hint="eastAsia" w:ascii="宋体" w:hAnsi="宋体"/>
          <w:b/>
          <w:bCs/>
          <w:color w:val="0000FF"/>
          <w:szCs w:val="21"/>
        </w:rPr>
        <w:t>原件核查）</w:t>
      </w:r>
      <w:r>
        <w:rPr>
          <w:rFonts w:hint="eastAsia" w:ascii="宋体" w:hAnsi="宋体"/>
          <w:bCs/>
          <w:szCs w:val="21"/>
        </w:rPr>
        <w:t>和中小企业声明函</w:t>
      </w:r>
      <w:r>
        <w:rPr>
          <w:rFonts w:hint="eastAsia" w:ascii="宋体" w:hAnsi="宋体"/>
          <w:b/>
          <w:bCs/>
          <w:color w:val="0000FF"/>
          <w:szCs w:val="21"/>
        </w:rPr>
        <w:t>（原件附</w:t>
      </w:r>
      <w:r>
        <w:rPr>
          <w:rFonts w:hint="eastAsia" w:ascii="宋体" w:hAnsi="宋体"/>
          <w:b/>
          <w:bCs/>
          <w:color w:val="0000FF"/>
          <w:kern w:val="0"/>
          <w:szCs w:val="21"/>
        </w:rPr>
        <w:t>投标文件商务、技术证明文件正本中</w:t>
      </w:r>
      <w:r>
        <w:rPr>
          <w:rFonts w:hint="eastAsia" w:ascii="宋体" w:hAnsi="宋体"/>
          <w:b/>
          <w:bCs/>
          <w:color w:val="0000FF"/>
          <w:szCs w:val="21"/>
        </w:rPr>
        <w:t>，副本可以为正本的复印件）</w:t>
      </w:r>
      <w:r>
        <w:rPr>
          <w:rFonts w:hint="eastAsia" w:ascii="宋体" w:hAnsi="宋体"/>
          <w:bCs/>
          <w:szCs w:val="21"/>
        </w:rPr>
        <w:t>；供应商提供其他企业制造的货物的除需提供本企业的中小企业认定的证明材料和中小企业声明函外，还需提供其他企业所在地的县级及以上中小企业主管部门出具的中小企业认定的证明材料（</w:t>
      </w:r>
      <w:r>
        <w:rPr>
          <w:rFonts w:hint="eastAsia" w:ascii="宋体" w:hAnsi="宋体"/>
          <w:b/>
          <w:bCs/>
          <w:color w:val="0000FF"/>
          <w:kern w:val="0"/>
          <w:szCs w:val="21"/>
        </w:rPr>
        <w:t>投标文件商务、技术证明文件正本中提供复印件加盖生产厂家公章，副本中可为正本的复印件</w:t>
      </w:r>
      <w:r>
        <w:rPr>
          <w:rFonts w:hint="eastAsia" w:ascii="宋体" w:hAnsi="宋体"/>
          <w:b/>
          <w:bCs/>
          <w:color w:val="0000FF"/>
          <w:szCs w:val="21"/>
        </w:rPr>
        <w:t>）</w:t>
      </w:r>
      <w:r>
        <w:rPr>
          <w:rFonts w:hint="eastAsia" w:ascii="宋体" w:hAnsi="宋体"/>
          <w:bCs/>
          <w:szCs w:val="21"/>
        </w:rPr>
        <w:t>和中小企业声明函</w:t>
      </w:r>
      <w:r>
        <w:rPr>
          <w:rFonts w:hint="eastAsia" w:ascii="宋体" w:hAnsi="宋体"/>
          <w:b/>
          <w:bCs/>
          <w:color w:val="0000FF"/>
          <w:szCs w:val="21"/>
        </w:rPr>
        <w:t>（原件附</w:t>
      </w:r>
      <w:r>
        <w:rPr>
          <w:rFonts w:hint="eastAsia" w:ascii="宋体" w:hAnsi="宋体"/>
          <w:b/>
          <w:bCs/>
          <w:color w:val="0000FF"/>
          <w:kern w:val="0"/>
          <w:szCs w:val="21"/>
        </w:rPr>
        <w:t>投标文件商务、技术证明文件正本中</w:t>
      </w:r>
      <w:r>
        <w:rPr>
          <w:rFonts w:hint="eastAsia" w:ascii="宋体" w:hAnsi="宋体"/>
          <w:b/>
          <w:bCs/>
          <w:color w:val="0000FF"/>
          <w:szCs w:val="21"/>
        </w:rPr>
        <w:t>，副本可以为正本的复印件）</w:t>
      </w:r>
      <w:r>
        <w:rPr>
          <w:rFonts w:hint="eastAsia" w:ascii="宋体" w:hAnsi="宋体"/>
          <w:bCs/>
          <w:szCs w:val="21"/>
        </w:rPr>
        <w:t>，否则不予承认。</w:t>
      </w:r>
    </w:p>
    <w:p>
      <w:pPr>
        <w:spacing w:line="440" w:lineRule="exact"/>
        <w:rPr>
          <w:rFonts w:ascii="宋体" w:hAnsi="宋体"/>
          <w:b/>
          <w:bCs/>
          <w:szCs w:val="21"/>
        </w:rPr>
      </w:pPr>
      <w:r>
        <w:rPr>
          <w:rFonts w:hint="eastAsia" w:ascii="宋体" w:hAnsi="宋体"/>
          <w:bCs/>
          <w:szCs w:val="21"/>
        </w:rPr>
        <w:t>　　</w:t>
      </w:r>
      <w:r>
        <w:rPr>
          <w:rFonts w:hint="eastAsia" w:ascii="宋体" w:hAnsi="宋体"/>
          <w:b/>
          <w:bCs/>
          <w:szCs w:val="21"/>
        </w:rPr>
        <w:t>在评审的过程中，以上（1）和（2）同时成立，方可以认定为小型或微型企业并享受价格优惠。</w:t>
      </w:r>
    </w:p>
    <w:p>
      <w:pPr>
        <w:numPr>
          <w:ilvl w:val="2"/>
          <w:numId w:val="44"/>
        </w:numPr>
        <w:spacing w:line="440" w:lineRule="exact"/>
        <w:ind w:firstLine="480" w:firstLineChars="200"/>
        <w:rPr>
          <w:rFonts w:ascii="宋体" w:hAnsi="宋体"/>
          <w:bCs/>
          <w:szCs w:val="21"/>
        </w:rPr>
      </w:pPr>
      <w:r>
        <w:rPr>
          <w:rFonts w:hint="eastAsia" w:ascii="宋体" w:hAnsi="宋体"/>
          <w:bCs/>
          <w:szCs w:val="21"/>
        </w:rPr>
        <w:t>根据财库〔2014〕68号《财政部 司法部关于政府采购支持监狱企业发展有关问题的通知》，监狱企业视同小微企业。提供由省级以上监狱管理局、戒毒管理局(含新疆生产建设兵团)出具的属于监狱企业的证明文件</w:t>
      </w:r>
      <w:r>
        <w:rPr>
          <w:rFonts w:hint="eastAsia" w:ascii="宋体" w:hAnsi="宋体"/>
          <w:b/>
          <w:bCs/>
          <w:color w:val="0000CC"/>
          <w:szCs w:val="21"/>
        </w:rPr>
        <w:t>（投标文件商务、技术证明文件正本中提供复印件加盖投标人公章，副本中可为正本的复印件，原件核查）</w:t>
      </w:r>
      <w:r>
        <w:rPr>
          <w:rFonts w:hint="eastAsia" w:ascii="宋体" w:hAnsi="宋体"/>
          <w:bCs/>
          <w:szCs w:val="21"/>
        </w:rPr>
        <w:t>，不再提供《中小企业声明函》,供应商出具的监狱企业证明文件如有虚假，其成交资格将被取消，并根据相关规定进行处罚。</w:t>
      </w:r>
    </w:p>
    <w:p>
      <w:pPr>
        <w:numPr>
          <w:ilvl w:val="2"/>
          <w:numId w:val="44"/>
        </w:numPr>
        <w:spacing w:line="440" w:lineRule="exact"/>
        <w:ind w:firstLine="480" w:firstLineChars="200"/>
        <w:rPr>
          <w:rFonts w:ascii="宋体" w:hAnsi="宋体"/>
          <w:bCs/>
          <w:szCs w:val="21"/>
        </w:rPr>
      </w:pPr>
      <w:r>
        <w:rPr>
          <w:rFonts w:hint="eastAsia" w:ascii="宋体" w:hAnsi="宋体"/>
          <w:bCs/>
          <w:szCs w:val="21"/>
        </w:rPr>
        <w:t>根据财库〔2017〕141号《三部门联合发布关于促进残疾人就业政府采购政策的通知》残疾人福利性单位视同小型、微型企业，残疾人福利性单位在参加政府采购活动时提供《残疾人福利性单位声明函》</w:t>
      </w:r>
      <w:r>
        <w:rPr>
          <w:rFonts w:hint="eastAsia" w:ascii="宋体" w:hAnsi="宋体"/>
          <w:b/>
          <w:bCs/>
          <w:color w:val="0000CC"/>
          <w:szCs w:val="21"/>
        </w:rPr>
        <w:t>（原件附投标文件商务、技术证明文件正本中，副本可以为正本的复印件）</w:t>
      </w:r>
      <w:r>
        <w:rPr>
          <w:rFonts w:hint="eastAsia" w:ascii="宋体" w:hAnsi="宋体"/>
          <w:bCs/>
          <w:szCs w:val="21"/>
        </w:rPr>
        <w:t>，不再提供《中小企业声明函》，供应商在《残疾人福利性单位声明函》中的承诺如有虚假，其成交资格将被取消，并根据相关规定进行处罚。</w:t>
      </w:r>
    </w:p>
    <w:p>
      <w:pPr>
        <w:spacing w:line="440" w:lineRule="exact"/>
        <w:ind w:left="480" w:leftChars="200"/>
        <w:rPr>
          <w:rFonts w:ascii="宋体" w:hAnsi="宋体"/>
          <w:bCs/>
          <w:szCs w:val="21"/>
        </w:rPr>
      </w:pPr>
      <w:r>
        <w:rPr>
          <w:rFonts w:hint="eastAsia" w:ascii="宋体" w:hAnsi="宋体"/>
          <w:b/>
          <w:bCs/>
          <w:color w:val="FF0000"/>
          <w:szCs w:val="21"/>
        </w:rPr>
        <w:t>投标人同时为小型、微型企业、监狱企业、残疾人福利性单位任两种或以上情况的，评审中只享受一次价格扣除，不重复进行价格扣除。</w:t>
      </w:r>
    </w:p>
    <w:p>
      <w:pPr>
        <w:numPr>
          <w:ilvl w:val="1"/>
          <w:numId w:val="43"/>
        </w:numPr>
        <w:spacing w:line="400" w:lineRule="exact"/>
        <w:ind w:firstLine="562" w:firstLineChars="200"/>
        <w:rPr>
          <w:rFonts w:ascii="宋体" w:hAnsi="宋体"/>
          <w:b/>
          <w:bCs/>
          <w:color w:val="000000"/>
          <w:sz w:val="28"/>
          <w:szCs w:val="28"/>
        </w:rPr>
      </w:pPr>
      <w:r>
        <w:rPr>
          <w:rFonts w:hint="eastAsia" w:ascii="宋体" w:hAnsi="宋体"/>
          <w:b/>
          <w:bCs/>
          <w:color w:val="000000"/>
          <w:sz w:val="28"/>
          <w:szCs w:val="28"/>
        </w:rPr>
        <w:t>节能产品、环境标志产品</w:t>
      </w:r>
    </w:p>
    <w:p>
      <w:pPr>
        <w:spacing w:line="440" w:lineRule="exact"/>
        <w:ind w:firstLine="484" w:firstLineChars="202"/>
        <w:rPr>
          <w:rFonts w:ascii="宋体" w:hAnsi="宋体"/>
          <w:bCs/>
          <w:szCs w:val="21"/>
        </w:rPr>
      </w:pPr>
      <w:r>
        <w:rPr>
          <w:rFonts w:hint="eastAsia" w:ascii="宋体" w:hAnsi="宋体"/>
          <w:bCs/>
          <w:szCs w:val="21"/>
        </w:rPr>
        <w:t>1.根据《财政部 发展改革委 生态环境部 市场监管总局关于调整优化节能产品、环境标志产品政府采购执行机制的通知》（财库〔2019〕9号）、关于印发节能产品政府采购品目清单的通知（财库〔2019〕19号）、关于印发环境标志产品政府采购品目清单的通知（财库〔2019〕18号）、市场监管总局关于发布参与实施政府采购节能产品、环境标志产品认证机构名录的公告（2019年第16号），属于政府优先采购产品类别的，须按照要求提供依据国家确定的认证机构出具的、处于有效期之内的节能产品或环境标志产品认证证书</w:t>
      </w:r>
      <w:r>
        <w:rPr>
          <w:rFonts w:hint="eastAsia" w:ascii="宋体" w:hAnsi="宋体"/>
          <w:b/>
          <w:bCs/>
          <w:color w:val="0000FF"/>
          <w:szCs w:val="21"/>
        </w:rPr>
        <w:t>（</w:t>
      </w:r>
      <w:r>
        <w:rPr>
          <w:rFonts w:hint="eastAsia" w:ascii="宋体" w:hAnsi="宋体"/>
          <w:b/>
          <w:bCs/>
          <w:color w:val="0000FF"/>
          <w:kern w:val="0"/>
          <w:szCs w:val="21"/>
        </w:rPr>
        <w:t>投标文件商务、技术证明文件正本中提供复印件加盖投标人公章，副本中可为正本的复印件</w:t>
      </w:r>
      <w:r>
        <w:rPr>
          <w:rFonts w:hint="eastAsia" w:ascii="宋体" w:hAnsi="宋体"/>
        </w:rPr>
        <w:t>）</w:t>
      </w:r>
      <w:r>
        <w:rPr>
          <w:rFonts w:hint="eastAsia" w:ascii="宋体" w:hAnsi="宋体"/>
          <w:b/>
          <w:bCs/>
          <w:color w:val="0000FF"/>
          <w:szCs w:val="21"/>
        </w:rPr>
        <w:t>）</w:t>
      </w:r>
      <w:r>
        <w:rPr>
          <w:rFonts w:hint="eastAsia" w:ascii="宋体" w:hAnsi="宋体"/>
          <w:bCs/>
          <w:szCs w:val="21"/>
        </w:rPr>
        <w:t>，否则不予认定。</w:t>
      </w:r>
    </w:p>
    <w:p>
      <w:pPr>
        <w:numPr>
          <w:ilvl w:val="1"/>
          <w:numId w:val="43"/>
        </w:numPr>
        <w:spacing w:line="400" w:lineRule="exact"/>
        <w:ind w:firstLine="562" w:firstLineChars="200"/>
        <w:rPr>
          <w:rFonts w:ascii="宋体" w:hAnsi="宋体"/>
          <w:b/>
          <w:bCs/>
          <w:color w:val="000000"/>
          <w:sz w:val="28"/>
          <w:szCs w:val="28"/>
        </w:rPr>
      </w:pPr>
      <w:r>
        <w:rPr>
          <w:rFonts w:hint="eastAsia" w:ascii="宋体" w:hAnsi="宋体"/>
          <w:b/>
          <w:bCs/>
          <w:color w:val="000000"/>
          <w:sz w:val="28"/>
          <w:szCs w:val="28"/>
        </w:rPr>
        <w:t>信息安全产品</w:t>
      </w:r>
    </w:p>
    <w:p>
      <w:r>
        <w:rPr>
          <w:rFonts w:hint="eastAsia"/>
        </w:rPr>
        <w:t>根据《财政部 工业和信息化部 国家质检总局 国家认监委关于信息安全产品实施政府采购的通知》财库〔2010〕48号文件要求，本次采购产品如有信息安全产品的，需提供由中国信息安全认证中心按国家标准认证颁发的有效认证证书（投标文件商务、技术证明文件正本中提供复印件加盖投标人公章，副本中可为正本的复印件）。</w:t>
      </w:r>
    </w:p>
    <w:p>
      <w:r>
        <w:rPr>
          <w:rFonts w:hint="eastAsia"/>
        </w:rPr>
        <w:br w:type="page"/>
      </w:r>
    </w:p>
    <w:p>
      <w:pPr>
        <w:pStyle w:val="32"/>
        <w:numPr>
          <w:ilvl w:val="0"/>
          <w:numId w:val="2"/>
        </w:numPr>
        <w:spacing w:line="480" w:lineRule="exact"/>
        <w:ind w:right="-72" w:rightChars="-30"/>
        <w:rPr>
          <w:rFonts w:ascii="宋体" w:hAnsi="宋体" w:cs="宋体"/>
          <w:bCs w:val="0"/>
        </w:rPr>
      </w:pPr>
      <w:bookmarkStart w:id="32" w:name="_Toc17444526"/>
      <w:bookmarkStart w:id="33" w:name="_Toc19814"/>
      <w:r>
        <w:rPr>
          <w:rFonts w:hint="eastAsia" w:ascii="宋体" w:hAnsi="宋体" w:cs="宋体"/>
          <w:bCs w:val="0"/>
        </w:rPr>
        <w:t>投标文件资格证明文件格式</w:t>
      </w:r>
      <w:bookmarkEnd w:id="32"/>
      <w:bookmarkEnd w:id="33"/>
    </w:p>
    <w:p>
      <w:pPr>
        <w:spacing w:line="560" w:lineRule="exact"/>
        <w:ind w:firstLine="560" w:firstLineChars="200"/>
        <w:rPr>
          <w:rFonts w:ascii="宋体" w:hAnsi="宋体"/>
          <w:sz w:val="28"/>
          <w:szCs w:val="28"/>
        </w:rPr>
      </w:pPr>
      <w:r>
        <w:rPr>
          <w:rFonts w:hint="eastAsia" w:ascii="宋体" w:hAnsi="宋体"/>
          <w:sz w:val="28"/>
          <w:szCs w:val="28"/>
        </w:rPr>
        <w:t>特别提醒：请投标人按照以下文件要求的格式、内容制作投标文件，并编制目录及页码，印刷（包括相关证明材料的复印件）清晰可辩，混乱的编排导致投标文件被误读或查找不到等后果，均由投标人自行承担。</w:t>
      </w:r>
    </w:p>
    <w:p>
      <w:pPr>
        <w:spacing w:line="600" w:lineRule="exact"/>
        <w:rPr>
          <w:rFonts w:ascii="宋体" w:hAnsi="宋体"/>
          <w:kern w:val="44"/>
          <w:sz w:val="32"/>
          <w:szCs w:val="32"/>
        </w:rPr>
      </w:pPr>
      <w:r>
        <w:rPr>
          <w:rFonts w:hint="eastAsia" w:ascii="宋体" w:hAnsi="宋体"/>
          <w:sz w:val="28"/>
          <w:szCs w:val="28"/>
        </w:rPr>
        <w:t>投标文件资格证明文件</w:t>
      </w:r>
      <w:r>
        <w:rPr>
          <w:rFonts w:hint="eastAsia" w:ascii="宋体" w:hAnsi="宋体"/>
          <w:kern w:val="44"/>
          <w:sz w:val="28"/>
          <w:szCs w:val="28"/>
        </w:rPr>
        <w:t>封面格式</w:t>
      </w:r>
      <w:r>
        <w:rPr>
          <w:rFonts w:hint="eastAsia" w:ascii="宋体" w:hAnsi="宋体"/>
          <w:kern w:val="44"/>
          <w:sz w:val="32"/>
          <w:szCs w:val="32"/>
        </w:rPr>
        <w:t>：</w:t>
      </w:r>
    </w:p>
    <w:p>
      <w:pPr>
        <w:pStyle w:val="31"/>
        <w:ind w:right="560"/>
        <w:jc w:val="right"/>
        <w:rPr>
          <w:b/>
          <w:bCs/>
          <w:sz w:val="28"/>
        </w:rPr>
      </w:pPr>
    </w:p>
    <w:p>
      <w:pPr>
        <w:pStyle w:val="31"/>
        <w:ind w:right="560"/>
        <w:jc w:val="right"/>
        <w:rPr>
          <w:b/>
          <w:bCs/>
          <w:sz w:val="28"/>
        </w:rPr>
      </w:pPr>
    </w:p>
    <w:p>
      <w:pPr>
        <w:pStyle w:val="31"/>
        <w:ind w:right="560"/>
        <w:jc w:val="right"/>
        <w:rPr>
          <w:b/>
          <w:bCs/>
          <w:sz w:val="28"/>
        </w:rPr>
      </w:pPr>
    </w:p>
    <w:p>
      <w:pPr>
        <w:pStyle w:val="31"/>
        <w:ind w:right="560"/>
        <w:jc w:val="right"/>
        <w:rPr>
          <w:b/>
          <w:bCs/>
          <w:sz w:val="28"/>
        </w:rPr>
      </w:pPr>
    </w:p>
    <w:p>
      <w:pPr>
        <w:pStyle w:val="31"/>
        <w:ind w:right="560"/>
        <w:jc w:val="right"/>
        <w:rPr>
          <w:b/>
          <w:bCs/>
          <w:sz w:val="28"/>
        </w:rPr>
      </w:pPr>
    </w:p>
    <w:p>
      <w:pPr>
        <w:pStyle w:val="31"/>
        <w:ind w:right="560"/>
        <w:jc w:val="right"/>
        <w:rPr>
          <w:b/>
          <w:bCs/>
          <w:sz w:val="28"/>
        </w:rPr>
      </w:pPr>
    </w:p>
    <w:p>
      <w:pPr>
        <w:pStyle w:val="31"/>
        <w:ind w:right="560"/>
        <w:jc w:val="right"/>
        <w:rPr>
          <w:b/>
          <w:bCs/>
          <w:sz w:val="28"/>
        </w:rPr>
      </w:pPr>
    </w:p>
    <w:p>
      <w:pPr>
        <w:pStyle w:val="31"/>
        <w:ind w:right="560"/>
        <w:jc w:val="right"/>
        <w:rPr>
          <w:b/>
          <w:bCs/>
          <w:sz w:val="28"/>
        </w:rPr>
      </w:pPr>
    </w:p>
    <w:p>
      <w:pPr>
        <w:pStyle w:val="31"/>
        <w:ind w:right="560"/>
        <w:jc w:val="right"/>
        <w:rPr>
          <w:b/>
          <w:bCs/>
          <w:sz w:val="28"/>
        </w:rPr>
      </w:pPr>
    </w:p>
    <w:p>
      <w:pPr>
        <w:pStyle w:val="31"/>
        <w:ind w:right="560"/>
        <w:jc w:val="right"/>
        <w:rPr>
          <w:b/>
          <w:bCs/>
          <w:sz w:val="28"/>
        </w:rPr>
      </w:pPr>
    </w:p>
    <w:p>
      <w:pPr>
        <w:pStyle w:val="31"/>
        <w:ind w:right="560"/>
        <w:jc w:val="right"/>
        <w:rPr>
          <w:b/>
          <w:bCs/>
          <w:sz w:val="28"/>
        </w:rPr>
      </w:pPr>
    </w:p>
    <w:p>
      <w:pPr>
        <w:pStyle w:val="31"/>
        <w:ind w:right="560"/>
        <w:jc w:val="right"/>
        <w:rPr>
          <w:b/>
          <w:bCs/>
          <w:sz w:val="28"/>
        </w:rPr>
      </w:pPr>
    </w:p>
    <w:p>
      <w:pPr>
        <w:pStyle w:val="31"/>
        <w:ind w:right="560"/>
        <w:jc w:val="right"/>
        <w:rPr>
          <w:b/>
          <w:bCs/>
          <w:sz w:val="28"/>
        </w:rPr>
      </w:pPr>
    </w:p>
    <w:p>
      <w:pPr>
        <w:pStyle w:val="31"/>
        <w:ind w:right="560"/>
        <w:jc w:val="right"/>
        <w:rPr>
          <w:b/>
          <w:bCs/>
          <w:sz w:val="28"/>
        </w:rPr>
      </w:pPr>
    </w:p>
    <w:p>
      <w:pPr>
        <w:pStyle w:val="31"/>
        <w:ind w:right="560"/>
        <w:jc w:val="right"/>
        <w:rPr>
          <w:b/>
          <w:bCs/>
          <w:sz w:val="28"/>
        </w:rPr>
      </w:pPr>
    </w:p>
    <w:p>
      <w:pPr>
        <w:pStyle w:val="31"/>
        <w:ind w:right="560"/>
        <w:jc w:val="right"/>
        <w:rPr>
          <w:b/>
          <w:bCs/>
          <w:sz w:val="28"/>
        </w:rPr>
      </w:pPr>
    </w:p>
    <w:p>
      <w:pPr>
        <w:pStyle w:val="31"/>
        <w:ind w:right="560"/>
        <w:jc w:val="right"/>
        <w:rPr>
          <w:sz w:val="44"/>
          <w:szCs w:val="44"/>
        </w:rPr>
      </w:pPr>
      <w:r>
        <w:rPr>
          <w:rFonts w:hint="eastAsia"/>
          <w:b/>
          <w:bCs/>
          <w:sz w:val="28"/>
        </w:rPr>
        <w:t>（正本或副本）</w:t>
      </w:r>
    </w:p>
    <w:p>
      <w:pPr>
        <w:widowControl/>
        <w:spacing w:line="384" w:lineRule="auto"/>
        <w:jc w:val="center"/>
        <w:rPr>
          <w:rFonts w:ascii="宋体" w:hAnsi="宋体"/>
          <w:kern w:val="0"/>
          <w:sz w:val="44"/>
          <w:szCs w:val="44"/>
        </w:rPr>
      </w:pPr>
    </w:p>
    <w:p>
      <w:pPr>
        <w:widowControl/>
        <w:spacing w:line="384" w:lineRule="auto"/>
        <w:jc w:val="center"/>
        <w:rPr>
          <w:rFonts w:ascii="宋体" w:hAnsi="宋体"/>
          <w:kern w:val="0"/>
          <w:sz w:val="44"/>
          <w:szCs w:val="44"/>
        </w:rPr>
      </w:pPr>
      <w:r>
        <w:rPr>
          <w:rFonts w:hint="eastAsia" w:ascii="宋体" w:hAnsi="宋体"/>
          <w:kern w:val="0"/>
          <w:sz w:val="44"/>
          <w:szCs w:val="44"/>
        </w:rPr>
        <w:t>（项目名称）</w:t>
      </w:r>
    </w:p>
    <w:p>
      <w:pPr>
        <w:widowControl/>
        <w:spacing w:line="384" w:lineRule="auto"/>
        <w:ind w:firstLine="2380" w:firstLineChars="850"/>
        <w:rPr>
          <w:rFonts w:ascii="宋体" w:hAnsi="宋体"/>
          <w:kern w:val="0"/>
          <w:sz w:val="28"/>
          <w:szCs w:val="28"/>
        </w:rPr>
      </w:pPr>
    </w:p>
    <w:p>
      <w:pPr>
        <w:widowControl/>
        <w:spacing w:line="384" w:lineRule="auto"/>
        <w:ind w:firstLine="2380" w:firstLineChars="850"/>
        <w:rPr>
          <w:rFonts w:ascii="宋体" w:hAnsi="宋体"/>
          <w:kern w:val="0"/>
          <w:sz w:val="28"/>
          <w:szCs w:val="28"/>
        </w:rPr>
      </w:pPr>
    </w:p>
    <w:p>
      <w:pPr>
        <w:widowControl/>
        <w:spacing w:line="384" w:lineRule="auto"/>
        <w:ind w:firstLine="2380" w:firstLineChars="850"/>
        <w:rPr>
          <w:rFonts w:ascii="宋体" w:hAnsi="宋体"/>
          <w:kern w:val="0"/>
          <w:sz w:val="28"/>
          <w:szCs w:val="28"/>
        </w:rPr>
      </w:pPr>
      <w:r>
        <w:rPr>
          <w:rFonts w:hint="eastAsia" w:ascii="宋体" w:hAnsi="宋体"/>
          <w:kern w:val="0"/>
          <w:sz w:val="28"/>
          <w:szCs w:val="28"/>
        </w:rPr>
        <w:t>项目编号：</w:t>
      </w:r>
    </w:p>
    <w:p>
      <w:pPr>
        <w:widowControl/>
        <w:spacing w:line="384" w:lineRule="auto"/>
        <w:ind w:firstLine="2240" w:firstLineChars="800"/>
        <w:rPr>
          <w:rFonts w:ascii="宋体" w:hAnsi="宋体"/>
          <w:kern w:val="0"/>
          <w:sz w:val="28"/>
          <w:szCs w:val="28"/>
        </w:rPr>
      </w:pPr>
      <w:r>
        <w:rPr>
          <w:rFonts w:hint="eastAsia" w:ascii="宋体" w:hAnsi="宋体"/>
          <w:kern w:val="0"/>
          <w:sz w:val="28"/>
          <w:szCs w:val="28"/>
        </w:rPr>
        <w:t xml:space="preserve"> 交易编号：</w:t>
      </w:r>
    </w:p>
    <w:p>
      <w:pPr>
        <w:widowControl/>
        <w:spacing w:line="384" w:lineRule="auto"/>
        <w:ind w:firstLine="2380" w:firstLineChars="850"/>
        <w:rPr>
          <w:rFonts w:ascii="宋体" w:hAnsi="宋体"/>
          <w:kern w:val="0"/>
          <w:sz w:val="28"/>
          <w:szCs w:val="28"/>
        </w:rPr>
      </w:pPr>
    </w:p>
    <w:p>
      <w:pPr>
        <w:widowControl/>
        <w:spacing w:line="384" w:lineRule="auto"/>
        <w:ind w:firstLine="2380" w:firstLineChars="850"/>
        <w:rPr>
          <w:rFonts w:ascii="宋体" w:hAnsi="宋体"/>
          <w:kern w:val="0"/>
          <w:sz w:val="28"/>
          <w:szCs w:val="28"/>
        </w:rPr>
      </w:pPr>
    </w:p>
    <w:p>
      <w:pPr>
        <w:jc w:val="center"/>
        <w:rPr>
          <w:rFonts w:ascii="宋体" w:hAnsi="宋体"/>
          <w:sz w:val="72"/>
          <w:szCs w:val="72"/>
        </w:rPr>
      </w:pPr>
      <w:r>
        <w:rPr>
          <w:rFonts w:hint="eastAsia" w:ascii="宋体" w:hAnsi="宋体"/>
          <w:sz w:val="72"/>
          <w:szCs w:val="72"/>
        </w:rPr>
        <w:t>投 标 文 件</w:t>
      </w:r>
    </w:p>
    <w:p>
      <w:pPr>
        <w:jc w:val="center"/>
        <w:rPr>
          <w:rFonts w:ascii="宋体" w:hAnsi="宋体"/>
          <w:b/>
          <w:bCs/>
          <w:sz w:val="28"/>
          <w:szCs w:val="28"/>
        </w:rPr>
      </w:pPr>
      <w:r>
        <w:rPr>
          <w:rFonts w:hint="eastAsia" w:ascii="宋体" w:hAnsi="宋体"/>
          <w:b/>
          <w:bCs/>
          <w:sz w:val="28"/>
          <w:szCs w:val="28"/>
        </w:rPr>
        <w:t>（资格证明文件）</w:t>
      </w:r>
    </w:p>
    <w:p>
      <w:pPr>
        <w:jc w:val="center"/>
        <w:rPr>
          <w:rFonts w:ascii="宋体" w:hAnsi="宋体"/>
          <w:sz w:val="28"/>
          <w:szCs w:val="28"/>
        </w:rPr>
      </w:pPr>
    </w:p>
    <w:p>
      <w:pPr>
        <w:rPr>
          <w:rFonts w:ascii="宋体" w:hAnsi="宋体"/>
          <w:sz w:val="28"/>
          <w:szCs w:val="28"/>
        </w:rPr>
      </w:pPr>
    </w:p>
    <w:p>
      <w:pPr>
        <w:rPr>
          <w:rFonts w:ascii="宋体" w:hAnsi="宋体"/>
          <w:sz w:val="28"/>
          <w:szCs w:val="28"/>
        </w:rPr>
      </w:pPr>
    </w:p>
    <w:p>
      <w:pPr>
        <w:rPr>
          <w:rFonts w:ascii="宋体" w:hAnsi="宋体"/>
          <w:sz w:val="28"/>
          <w:szCs w:val="28"/>
        </w:rPr>
      </w:pPr>
    </w:p>
    <w:p>
      <w:pPr>
        <w:rPr>
          <w:rFonts w:ascii="宋体" w:hAnsi="宋体"/>
          <w:sz w:val="28"/>
          <w:szCs w:val="28"/>
        </w:rPr>
      </w:pPr>
    </w:p>
    <w:p>
      <w:pPr>
        <w:ind w:left="1920" w:leftChars="800"/>
        <w:jc w:val="left"/>
        <w:rPr>
          <w:rFonts w:ascii="宋体" w:hAnsi="宋体"/>
          <w:sz w:val="30"/>
          <w:szCs w:val="30"/>
        </w:rPr>
      </w:pPr>
      <w:r>
        <w:rPr>
          <w:rFonts w:hint="eastAsia" w:ascii="宋体" w:hAnsi="宋体"/>
          <w:sz w:val="30"/>
          <w:szCs w:val="30"/>
        </w:rPr>
        <w:t>采购人：</w:t>
      </w:r>
    </w:p>
    <w:p>
      <w:pPr>
        <w:spacing w:line="480" w:lineRule="auto"/>
        <w:ind w:left="1920" w:leftChars="800"/>
        <w:jc w:val="left"/>
        <w:rPr>
          <w:rFonts w:ascii="宋体" w:hAnsi="宋体"/>
          <w:sz w:val="30"/>
          <w:szCs w:val="30"/>
        </w:rPr>
      </w:pPr>
      <w:r>
        <w:rPr>
          <w:rFonts w:hint="eastAsia" w:ascii="宋体" w:hAnsi="宋体"/>
          <w:sz w:val="30"/>
          <w:szCs w:val="30"/>
        </w:rPr>
        <w:t>投标人名称（全称并加盖公章）：</w:t>
      </w:r>
    </w:p>
    <w:p>
      <w:pPr>
        <w:spacing w:line="480" w:lineRule="auto"/>
        <w:ind w:left="1920" w:leftChars="800"/>
        <w:jc w:val="left"/>
        <w:rPr>
          <w:rFonts w:ascii="宋体" w:hAnsi="宋体"/>
          <w:sz w:val="30"/>
          <w:szCs w:val="30"/>
        </w:rPr>
      </w:pPr>
      <w:r>
        <w:rPr>
          <w:rFonts w:hint="eastAsia" w:ascii="宋体" w:hAnsi="宋体"/>
          <w:sz w:val="30"/>
          <w:szCs w:val="30"/>
        </w:rPr>
        <w:t>法定代表人或其委托代理人（签字）：</w:t>
      </w:r>
    </w:p>
    <w:p>
      <w:pPr>
        <w:spacing w:line="480" w:lineRule="auto"/>
        <w:ind w:left="1920" w:leftChars="800"/>
        <w:jc w:val="left"/>
        <w:rPr>
          <w:rFonts w:ascii="宋体" w:hAnsi="宋体"/>
          <w:sz w:val="30"/>
          <w:szCs w:val="30"/>
        </w:rPr>
      </w:pPr>
      <w:r>
        <w:rPr>
          <w:rFonts w:hint="eastAsia" w:ascii="宋体" w:hAnsi="宋体"/>
          <w:sz w:val="30"/>
          <w:szCs w:val="30"/>
        </w:rPr>
        <w:t>日期：    年   月   日</w:t>
      </w:r>
    </w:p>
    <w:p>
      <w:pPr>
        <w:snapToGrid w:val="0"/>
        <w:rPr>
          <w:rFonts w:ascii="宋体" w:hAnsi="宋体"/>
          <w:color w:val="000000"/>
        </w:rPr>
      </w:pPr>
    </w:p>
    <w:p>
      <w:pPr>
        <w:snapToGrid w:val="0"/>
        <w:rPr>
          <w:rFonts w:ascii="宋体" w:hAnsi="宋体"/>
          <w:color w:val="000000"/>
        </w:rPr>
      </w:pPr>
    </w:p>
    <w:p>
      <w:pPr>
        <w:snapToGrid w:val="0"/>
        <w:rPr>
          <w:rFonts w:ascii="宋体" w:hAnsi="宋体"/>
          <w:color w:val="000000"/>
        </w:rPr>
      </w:pPr>
    </w:p>
    <w:p>
      <w:pPr>
        <w:snapToGrid w:val="0"/>
        <w:rPr>
          <w:rFonts w:ascii="宋体" w:hAnsi="宋体"/>
          <w:color w:val="000000"/>
        </w:rPr>
      </w:pPr>
    </w:p>
    <w:p>
      <w:pPr>
        <w:pStyle w:val="34"/>
        <w:ind w:firstLine="280"/>
        <w:rPr>
          <w:rFonts w:ascii="宋体" w:hAnsi="宋体" w:eastAsia="宋体" w:cs="宋体"/>
          <w:color w:val="000000"/>
        </w:rPr>
      </w:pPr>
    </w:p>
    <w:p>
      <w:pPr>
        <w:pStyle w:val="35"/>
        <w:ind w:left="480" w:firstLine="560"/>
      </w:pPr>
    </w:p>
    <w:p>
      <w:pPr>
        <w:spacing w:line="360" w:lineRule="auto"/>
        <w:jc w:val="center"/>
        <w:rPr>
          <w:rFonts w:ascii="宋体" w:hAnsi="宋体"/>
          <w:b/>
          <w:bCs/>
          <w:sz w:val="32"/>
          <w:szCs w:val="32"/>
        </w:rPr>
      </w:pPr>
      <w:r>
        <w:rPr>
          <w:rFonts w:hint="eastAsia" w:ascii="宋体" w:hAnsi="宋体"/>
          <w:b/>
          <w:bCs/>
          <w:sz w:val="32"/>
          <w:szCs w:val="32"/>
        </w:rPr>
        <w:t>目  录</w:t>
      </w:r>
    </w:p>
    <w:p>
      <w:pPr>
        <w:spacing w:line="360" w:lineRule="auto"/>
        <w:jc w:val="left"/>
        <w:rPr>
          <w:rFonts w:ascii="宋体" w:hAnsi="宋体"/>
        </w:rPr>
      </w:pPr>
    </w:p>
    <w:p>
      <w:pPr>
        <w:spacing w:line="360" w:lineRule="auto"/>
        <w:jc w:val="left"/>
        <w:rPr>
          <w:rFonts w:ascii="宋体" w:hAnsi="宋体"/>
          <w:sz w:val="28"/>
          <w:szCs w:val="28"/>
        </w:rPr>
      </w:pPr>
    </w:p>
    <w:p>
      <w:pPr>
        <w:spacing w:line="360" w:lineRule="auto"/>
        <w:jc w:val="left"/>
        <w:rPr>
          <w:rFonts w:ascii="宋体" w:hAnsi="宋体"/>
        </w:rPr>
      </w:pPr>
    </w:p>
    <w:p>
      <w:pPr>
        <w:spacing w:line="360" w:lineRule="auto"/>
        <w:jc w:val="left"/>
        <w:rPr>
          <w:rFonts w:ascii="宋体" w:hAnsi="宋体"/>
        </w:rPr>
      </w:pPr>
    </w:p>
    <w:p>
      <w:pPr>
        <w:spacing w:line="360" w:lineRule="auto"/>
        <w:jc w:val="left"/>
        <w:rPr>
          <w:rFonts w:ascii="宋体" w:hAnsi="宋体"/>
        </w:rPr>
      </w:pPr>
    </w:p>
    <w:p>
      <w:pPr>
        <w:spacing w:line="360" w:lineRule="auto"/>
        <w:jc w:val="left"/>
        <w:rPr>
          <w:rFonts w:ascii="宋体" w:hAnsi="宋体"/>
        </w:rPr>
      </w:pPr>
    </w:p>
    <w:p>
      <w:pPr>
        <w:spacing w:line="360" w:lineRule="auto"/>
        <w:jc w:val="left"/>
        <w:rPr>
          <w:rFonts w:ascii="宋体" w:hAnsi="宋体"/>
        </w:rPr>
      </w:pPr>
    </w:p>
    <w:p>
      <w:pPr>
        <w:spacing w:line="360" w:lineRule="auto"/>
        <w:jc w:val="left"/>
        <w:rPr>
          <w:rFonts w:ascii="宋体" w:hAnsi="宋体"/>
        </w:rPr>
      </w:pPr>
    </w:p>
    <w:p>
      <w:pPr>
        <w:spacing w:line="360" w:lineRule="auto"/>
        <w:jc w:val="left"/>
        <w:rPr>
          <w:rFonts w:ascii="宋体" w:hAnsi="宋体"/>
        </w:rPr>
      </w:pPr>
    </w:p>
    <w:p>
      <w:pPr>
        <w:spacing w:line="360" w:lineRule="auto"/>
        <w:jc w:val="left"/>
        <w:rPr>
          <w:rFonts w:ascii="宋体" w:hAnsi="宋体"/>
        </w:rPr>
      </w:pPr>
    </w:p>
    <w:p>
      <w:pPr>
        <w:spacing w:line="360" w:lineRule="auto"/>
        <w:jc w:val="left"/>
        <w:rPr>
          <w:rFonts w:ascii="宋体" w:hAnsi="宋体"/>
        </w:rPr>
      </w:pPr>
    </w:p>
    <w:p>
      <w:pPr>
        <w:spacing w:line="360" w:lineRule="auto"/>
        <w:jc w:val="left"/>
        <w:rPr>
          <w:rFonts w:ascii="宋体" w:hAnsi="宋体"/>
        </w:rPr>
      </w:pPr>
    </w:p>
    <w:p>
      <w:pPr>
        <w:spacing w:line="360" w:lineRule="auto"/>
        <w:jc w:val="left"/>
        <w:rPr>
          <w:rFonts w:ascii="宋体" w:hAnsi="宋体"/>
        </w:rPr>
      </w:pPr>
    </w:p>
    <w:p>
      <w:pPr>
        <w:spacing w:line="360" w:lineRule="auto"/>
        <w:jc w:val="left"/>
        <w:rPr>
          <w:rFonts w:ascii="宋体" w:hAnsi="宋体"/>
        </w:rPr>
      </w:pPr>
    </w:p>
    <w:p>
      <w:pPr>
        <w:spacing w:line="360" w:lineRule="auto"/>
        <w:jc w:val="left"/>
        <w:rPr>
          <w:rFonts w:ascii="宋体" w:hAnsi="宋体"/>
        </w:rPr>
      </w:pPr>
    </w:p>
    <w:p>
      <w:pPr>
        <w:spacing w:line="360" w:lineRule="auto"/>
        <w:jc w:val="left"/>
        <w:rPr>
          <w:rFonts w:ascii="宋体" w:hAnsi="宋体"/>
        </w:rPr>
      </w:pPr>
    </w:p>
    <w:p>
      <w:pPr>
        <w:pStyle w:val="2"/>
        <w:rPr>
          <w:rFonts w:ascii="宋体" w:hAnsi="宋体"/>
        </w:rPr>
      </w:pPr>
    </w:p>
    <w:p>
      <w:pPr>
        <w:pStyle w:val="2"/>
        <w:rPr>
          <w:rFonts w:ascii="宋体" w:hAnsi="宋体"/>
        </w:rPr>
      </w:pPr>
    </w:p>
    <w:p>
      <w:pPr>
        <w:pStyle w:val="2"/>
        <w:rPr>
          <w:rFonts w:ascii="宋体" w:hAnsi="宋体"/>
        </w:rPr>
      </w:pPr>
    </w:p>
    <w:p>
      <w:pPr>
        <w:pStyle w:val="2"/>
        <w:rPr>
          <w:rFonts w:ascii="宋体" w:hAnsi="宋体"/>
        </w:rPr>
      </w:pPr>
    </w:p>
    <w:p>
      <w:pPr>
        <w:pStyle w:val="2"/>
        <w:rPr>
          <w:rFonts w:ascii="宋体" w:hAnsi="宋体"/>
        </w:rPr>
      </w:pPr>
    </w:p>
    <w:p>
      <w:pPr>
        <w:pStyle w:val="2"/>
        <w:rPr>
          <w:rFonts w:ascii="宋体" w:hAnsi="宋体"/>
        </w:rPr>
      </w:pPr>
    </w:p>
    <w:p>
      <w:pPr>
        <w:pStyle w:val="2"/>
        <w:rPr>
          <w:rFonts w:ascii="宋体" w:hAnsi="宋体"/>
        </w:rPr>
      </w:pPr>
    </w:p>
    <w:p>
      <w:pPr>
        <w:pStyle w:val="2"/>
        <w:rPr>
          <w:rFonts w:ascii="宋体" w:hAnsi="宋体"/>
        </w:rPr>
      </w:pPr>
    </w:p>
    <w:p>
      <w:pPr>
        <w:widowControl/>
        <w:snapToGrid w:val="0"/>
        <w:spacing w:line="480" w:lineRule="exact"/>
        <w:ind w:left="420"/>
        <w:jc w:val="center"/>
        <w:rPr>
          <w:rFonts w:ascii="宋体" w:hAnsi="宋体"/>
          <w:sz w:val="32"/>
          <w:szCs w:val="32"/>
        </w:rPr>
      </w:pPr>
      <w:r>
        <w:rPr>
          <w:rFonts w:hint="eastAsia" w:ascii="宋体" w:hAnsi="宋体"/>
          <w:sz w:val="32"/>
          <w:szCs w:val="32"/>
        </w:rPr>
        <w:t>资格证明材料</w:t>
      </w:r>
    </w:p>
    <w:p>
      <w:pPr>
        <w:numPr>
          <w:ilvl w:val="2"/>
          <w:numId w:val="46"/>
        </w:numPr>
        <w:spacing w:line="440" w:lineRule="exact"/>
        <w:ind w:firstLine="480" w:firstLineChars="200"/>
        <w:rPr>
          <w:rFonts w:ascii="宋体" w:hAnsi="宋体"/>
          <w:szCs w:val="21"/>
        </w:rPr>
      </w:pPr>
      <w:r>
        <w:rPr>
          <w:rFonts w:hint="eastAsia" w:ascii="宋体" w:hAnsi="宋体"/>
          <w:szCs w:val="21"/>
        </w:rPr>
        <w:t>提供有效的“设立登记证书”，</w:t>
      </w:r>
      <w:r>
        <w:rPr>
          <w:rFonts w:hint="eastAsia" w:ascii="宋体" w:hAnsi="宋体"/>
          <w:b/>
          <w:bCs/>
          <w:szCs w:val="21"/>
        </w:rPr>
        <w:t>原件资格审查时核查（提供电子营业执照的可不提供原件）；</w:t>
      </w:r>
    </w:p>
    <w:p>
      <w:pPr>
        <w:spacing w:line="440" w:lineRule="exact"/>
        <w:ind w:firstLine="480" w:firstLineChars="200"/>
        <w:rPr>
          <w:rFonts w:ascii="宋体" w:hAnsi="宋体"/>
          <w:szCs w:val="21"/>
        </w:rPr>
      </w:pPr>
      <w:r>
        <w:rPr>
          <w:rFonts w:hint="eastAsia" w:ascii="宋体" w:hAnsi="宋体"/>
          <w:szCs w:val="21"/>
        </w:rPr>
        <w:t>“设立登记证书”是指</w:t>
      </w:r>
      <w:r>
        <w:fldChar w:fldCharType="begin"/>
      </w:r>
      <w:r>
        <w:instrText xml:space="preserve"> HYPERLINK "https://baike.baidu.com/item/%E5%B7%A5%E5%95%86%E8%A1%8C%E6%94%BF%E7%AE%A1%E7%90%86%E6%9C%BA%E5%85%B3/2954967" \t "https://baike.baidu.com/item/%E8%90%A5%E4%B8%9A%E6%89%A7%E7%85%A7/_blank" </w:instrText>
      </w:r>
      <w:r>
        <w:fldChar w:fldCharType="separate"/>
      </w:r>
      <w:r>
        <w:rPr>
          <w:rFonts w:hint="eastAsia" w:ascii="宋体" w:hAnsi="宋体"/>
          <w:szCs w:val="21"/>
        </w:rPr>
        <w:t>工商行政管理机关</w:t>
      </w:r>
      <w:r>
        <w:rPr>
          <w:rFonts w:hint="eastAsia" w:ascii="宋体" w:hAnsi="宋体"/>
          <w:szCs w:val="21"/>
        </w:rPr>
        <w:fldChar w:fldCharType="end"/>
      </w:r>
      <w:r>
        <w:rPr>
          <w:rFonts w:hint="eastAsia" w:ascii="宋体" w:hAnsi="宋体"/>
          <w:szCs w:val="21"/>
        </w:rPr>
        <w:t>或市场监督管理部门颁发的营业执照，或民政部门颁发的民办非企业单位登记证书，或司法行政机关颁发的律师事务所执业许可证等凭证；</w:t>
      </w:r>
    </w:p>
    <w:p>
      <w:pPr>
        <w:numPr>
          <w:ilvl w:val="2"/>
          <w:numId w:val="46"/>
        </w:numPr>
        <w:spacing w:line="440" w:lineRule="exact"/>
        <w:ind w:firstLine="480" w:firstLineChars="200"/>
        <w:rPr>
          <w:rFonts w:ascii="宋体" w:hAnsi="宋体"/>
          <w:szCs w:val="21"/>
        </w:rPr>
      </w:pPr>
      <w:r>
        <w:rPr>
          <w:rFonts w:hint="eastAsia" w:ascii="宋体" w:hAnsi="宋体"/>
          <w:szCs w:val="21"/>
        </w:rPr>
        <w:t>提供投标截止时间前近六个月任意一个</w:t>
      </w:r>
      <w:r>
        <w:rPr>
          <w:rFonts w:hint="eastAsia" w:ascii="宋体" w:hAnsi="宋体"/>
          <w:b/>
          <w:bCs/>
          <w:szCs w:val="21"/>
        </w:rPr>
        <w:t>月税务机关出具的</w:t>
      </w:r>
      <w:r>
        <w:rPr>
          <w:rFonts w:hint="eastAsia" w:ascii="宋体" w:hAnsi="宋体"/>
          <w:szCs w:val="21"/>
        </w:rPr>
        <w:t>依法缴纳</w:t>
      </w:r>
      <w:r>
        <w:rPr>
          <w:rFonts w:hint="eastAsia" w:ascii="宋体" w:hAnsi="宋体"/>
          <w:b/>
          <w:bCs/>
          <w:szCs w:val="21"/>
        </w:rPr>
        <w:t>增值税和企业所得税的</w:t>
      </w:r>
      <w:r>
        <w:rPr>
          <w:rFonts w:hint="eastAsia" w:ascii="宋体" w:hAnsi="宋体"/>
          <w:szCs w:val="21"/>
        </w:rPr>
        <w:t>凭据，或企业所在地的税务机关出具的正常纳税证明（正常纳税证明出具日期在投标文件提交截止时间前30天以内，详见格式）。</w:t>
      </w:r>
    </w:p>
    <w:p>
      <w:pPr>
        <w:spacing w:line="440" w:lineRule="exact"/>
        <w:ind w:firstLine="480" w:firstLineChars="200"/>
        <w:rPr>
          <w:rFonts w:ascii="宋体" w:hAnsi="宋体"/>
          <w:szCs w:val="21"/>
        </w:rPr>
      </w:pPr>
      <w:r>
        <w:rPr>
          <w:rFonts w:hint="eastAsia" w:ascii="宋体" w:hAnsi="宋体"/>
          <w:szCs w:val="21"/>
        </w:rPr>
        <w:t>依法免税的投标人，应提供相应文件证明其依法免税。</w:t>
      </w:r>
    </w:p>
    <w:p>
      <w:pPr>
        <w:numPr>
          <w:ilvl w:val="2"/>
          <w:numId w:val="46"/>
        </w:numPr>
        <w:spacing w:line="440" w:lineRule="exact"/>
        <w:ind w:firstLine="480" w:firstLineChars="200"/>
        <w:rPr>
          <w:rFonts w:ascii="宋体" w:hAnsi="宋体"/>
          <w:szCs w:val="21"/>
        </w:rPr>
      </w:pPr>
      <w:r>
        <w:rPr>
          <w:rFonts w:hint="eastAsia" w:ascii="宋体" w:hAnsi="宋体"/>
          <w:szCs w:val="21"/>
        </w:rPr>
        <w:t>社会保险：</w:t>
      </w:r>
    </w:p>
    <w:p>
      <w:pPr>
        <w:numPr>
          <w:ilvl w:val="1"/>
          <w:numId w:val="47"/>
        </w:numPr>
        <w:spacing w:line="440" w:lineRule="exact"/>
        <w:ind w:left="0" w:firstLine="420"/>
        <w:rPr>
          <w:rFonts w:ascii="宋体" w:hAnsi="宋体"/>
          <w:szCs w:val="21"/>
        </w:rPr>
      </w:pPr>
      <w:r>
        <w:rPr>
          <w:rFonts w:hint="eastAsia" w:ascii="宋体" w:hAnsi="宋体"/>
          <w:szCs w:val="21"/>
        </w:rPr>
        <w:t>提供投标截止时间前近六个月任意三个月（新成立企业不足三个月的，提供自企业成立以来的）单位依法缴纳社会保险的证明材料；</w:t>
      </w:r>
    </w:p>
    <w:p>
      <w:pPr>
        <w:numPr>
          <w:ilvl w:val="1"/>
          <w:numId w:val="47"/>
        </w:numPr>
        <w:spacing w:line="440" w:lineRule="exact"/>
        <w:ind w:left="0" w:firstLine="420"/>
        <w:rPr>
          <w:rFonts w:ascii="宋体" w:hAnsi="宋体"/>
          <w:szCs w:val="21"/>
        </w:rPr>
      </w:pPr>
      <w:r>
        <w:rPr>
          <w:rFonts w:hint="eastAsia" w:ascii="宋体" w:hAnsi="宋体"/>
          <w:szCs w:val="21"/>
        </w:rPr>
        <w:t>提供投标人为委托代理人依法缴纳社会保险的证明材料和劳动合同（如法定代表人参加投标的无需提供该项）。</w:t>
      </w:r>
    </w:p>
    <w:p>
      <w:pPr>
        <w:spacing w:line="440" w:lineRule="exact"/>
        <w:ind w:firstLine="480" w:firstLineChars="200"/>
        <w:rPr>
          <w:rFonts w:ascii="宋体" w:hAnsi="宋体"/>
          <w:szCs w:val="21"/>
        </w:rPr>
      </w:pPr>
      <w:r>
        <w:rPr>
          <w:rFonts w:hint="eastAsia" w:ascii="宋体" w:hAnsi="宋体"/>
          <w:szCs w:val="21"/>
        </w:rPr>
        <w:t>依法不需要缴纳社会保险的投标人，应提供相应文件证明其依法不需要缴纳社会保险。</w:t>
      </w:r>
    </w:p>
    <w:p>
      <w:pPr>
        <w:numPr>
          <w:ilvl w:val="2"/>
          <w:numId w:val="46"/>
        </w:numPr>
        <w:spacing w:line="440" w:lineRule="exact"/>
        <w:ind w:firstLine="480" w:firstLineChars="200"/>
        <w:rPr>
          <w:rFonts w:ascii="宋体" w:hAnsi="宋体"/>
          <w:szCs w:val="21"/>
        </w:rPr>
      </w:pPr>
      <w:r>
        <w:rPr>
          <w:rFonts w:hint="eastAsia" w:ascii="宋体" w:hAnsi="宋体"/>
          <w:szCs w:val="21"/>
        </w:rPr>
        <w:t>财务状况报告:提供经政府审计部门或会计事务所审计的2019年度财务审计报告（新成立企业不足一年的，提供最近一个月的财务报表。提供财务审计报告的：至少应包含资产负债表、利润表、现金流量表）或其基本开户银行出具的资信证明</w:t>
      </w:r>
      <w:r>
        <w:rPr>
          <w:rFonts w:hint="eastAsia" w:ascii="宋体" w:hAnsi="宋体"/>
          <w:szCs w:val="21"/>
          <w:u w:val="single"/>
        </w:rPr>
        <w:t>（由银行出具资信证明的，出具时间距开标不超过一年）</w:t>
      </w:r>
      <w:r>
        <w:rPr>
          <w:rFonts w:hint="eastAsia" w:ascii="宋体" w:hAnsi="宋体"/>
          <w:szCs w:val="21"/>
        </w:rPr>
        <w:t>，</w:t>
      </w:r>
      <w:r>
        <w:rPr>
          <w:rFonts w:hint="eastAsia" w:ascii="宋体" w:hAnsi="宋体"/>
          <w:b/>
          <w:szCs w:val="21"/>
        </w:rPr>
        <w:t>原件资格审查时核查。</w:t>
      </w:r>
    </w:p>
    <w:p>
      <w:pPr>
        <w:pStyle w:val="34"/>
        <w:ind w:firstLine="480" w:firstLineChars="200"/>
        <w:rPr>
          <w:rFonts w:ascii="宋体" w:hAnsi="宋体" w:eastAsia="宋体" w:cs="宋体"/>
          <w:sz w:val="24"/>
          <w:szCs w:val="21"/>
        </w:rPr>
      </w:pPr>
      <w:r>
        <w:rPr>
          <w:rFonts w:hint="eastAsia" w:ascii="宋体" w:hAnsi="宋体" w:eastAsia="宋体" w:cs="宋体"/>
          <w:sz w:val="24"/>
        </w:rPr>
        <w:t>5.</w:t>
      </w:r>
      <w:r>
        <w:rPr>
          <w:rFonts w:hint="eastAsia" w:ascii="宋体" w:hAnsi="宋体" w:eastAsia="宋体" w:cs="宋体"/>
          <w:sz w:val="24"/>
          <w:szCs w:val="21"/>
        </w:rPr>
        <w:t>本项目采购</w:t>
      </w:r>
      <w:r>
        <w:rPr>
          <w:rFonts w:hint="eastAsia" w:ascii="宋体" w:hAnsi="宋体" w:eastAsia="宋体" w:cs="宋体"/>
          <w:sz w:val="24"/>
          <w:szCs w:val="21"/>
          <w:u w:val="single"/>
        </w:rPr>
        <w:t>电脑、打印机</w:t>
      </w:r>
      <w:r>
        <w:rPr>
          <w:rFonts w:hint="eastAsia" w:ascii="宋体" w:hAnsi="宋体" w:eastAsia="宋体" w:cs="宋体"/>
          <w:sz w:val="24"/>
          <w:szCs w:val="21"/>
        </w:rPr>
        <w:t>产品提供依据国家确定的认证机构出具的、处于有效期之内的节能产品认证证书；</w:t>
      </w:r>
    </w:p>
    <w:p>
      <w:pPr>
        <w:spacing w:line="440" w:lineRule="exact"/>
        <w:ind w:firstLine="480" w:firstLineChars="200"/>
        <w:rPr>
          <w:rFonts w:ascii="宋体" w:hAnsi="宋体"/>
          <w:szCs w:val="21"/>
        </w:rPr>
      </w:pPr>
      <w:r>
        <w:rPr>
          <w:rFonts w:hint="eastAsia" w:ascii="宋体" w:hAnsi="宋体"/>
          <w:szCs w:val="21"/>
        </w:rPr>
        <w:t>6.供应商是生产商的须提供相关有效的《医疗器械注册证》及《医疗器械生产许可证》；供应商是经销商的需具有有效的《医疗器械经营许可证》，进口产品出具制造商或者其指定总代授权委托书。（不属于医疗器械的投标产品，不需要提供）；</w:t>
      </w:r>
    </w:p>
    <w:p>
      <w:pPr>
        <w:spacing w:line="440" w:lineRule="exact"/>
        <w:ind w:left="480" w:leftChars="200"/>
        <w:rPr>
          <w:rFonts w:ascii="宋体" w:hAnsi="宋体"/>
          <w:szCs w:val="21"/>
        </w:rPr>
      </w:pPr>
      <w:r>
        <w:rPr>
          <w:rFonts w:hint="eastAsia" w:ascii="宋体" w:hAnsi="宋体"/>
          <w:szCs w:val="21"/>
        </w:rPr>
        <w:t>7.投标人开标前三年内在经营活动中无重大违法记录的书面声明（详见格式）；</w:t>
      </w:r>
    </w:p>
    <w:p>
      <w:pPr>
        <w:spacing w:line="440" w:lineRule="exact"/>
        <w:ind w:left="480" w:leftChars="200"/>
        <w:rPr>
          <w:rFonts w:ascii="宋体" w:hAnsi="宋体"/>
          <w:szCs w:val="21"/>
        </w:rPr>
      </w:pPr>
      <w:r>
        <w:rPr>
          <w:rFonts w:hint="eastAsia" w:ascii="宋体" w:hAnsi="宋体"/>
          <w:szCs w:val="21"/>
        </w:rPr>
        <w:t>8.具备良好的商业信誉和健全的财务会计制度的承诺（详见格式）；</w:t>
      </w:r>
    </w:p>
    <w:p>
      <w:pPr>
        <w:spacing w:line="440" w:lineRule="exact"/>
        <w:ind w:left="480" w:leftChars="200"/>
        <w:rPr>
          <w:rFonts w:ascii="宋体" w:hAnsi="宋体"/>
          <w:szCs w:val="21"/>
        </w:rPr>
      </w:pPr>
      <w:r>
        <w:rPr>
          <w:rFonts w:hint="eastAsia" w:ascii="宋体" w:hAnsi="宋体"/>
          <w:szCs w:val="21"/>
        </w:rPr>
        <w:t>9.具备履行合同所必需的设备和专业技术能力的承诺（详见格式）；</w:t>
      </w:r>
    </w:p>
    <w:p>
      <w:pPr>
        <w:spacing w:line="440" w:lineRule="exact"/>
        <w:ind w:left="480" w:leftChars="200"/>
        <w:rPr>
          <w:rFonts w:ascii="宋体" w:hAnsi="宋体"/>
          <w:szCs w:val="21"/>
        </w:rPr>
      </w:pPr>
      <w:r>
        <w:rPr>
          <w:rFonts w:hint="eastAsia" w:ascii="宋体" w:hAnsi="宋体"/>
          <w:szCs w:val="21"/>
        </w:rPr>
        <w:t>10.投标人及其法定代表人、委托代理人均无行贿犯罪记录（提供无行贿犯罪记录承诺书，详见格式）；</w:t>
      </w:r>
    </w:p>
    <w:p>
      <w:pPr>
        <w:spacing w:line="440" w:lineRule="exact"/>
        <w:ind w:left="480" w:leftChars="200"/>
        <w:rPr>
          <w:rFonts w:ascii="宋体" w:hAnsi="宋体"/>
          <w:szCs w:val="21"/>
        </w:rPr>
      </w:pPr>
      <w:r>
        <w:rPr>
          <w:rFonts w:hint="eastAsia" w:ascii="宋体" w:hAnsi="宋体"/>
          <w:szCs w:val="21"/>
        </w:rPr>
        <w:t>11.提供经中国人民银行备案的第三方征信机构出具的有效期内的（未注明有效期的，自信用报告出具之日起有效期不得超过二年，如2018年10月1日出具的信用报告，信用报告上未体现有效期的，有效期截止2020年9月30日）信用报告，且信用等级达到A级及以上，</w:t>
      </w:r>
      <w:r>
        <w:rPr>
          <w:rFonts w:hint="eastAsia" w:ascii="宋体" w:hAnsi="宋体"/>
          <w:b/>
          <w:bCs/>
          <w:szCs w:val="21"/>
          <w:u w:val="single"/>
        </w:rPr>
        <w:t>原件资格审查时核查</w:t>
      </w:r>
      <w:r>
        <w:rPr>
          <w:rFonts w:hint="eastAsia" w:ascii="宋体" w:hAnsi="宋体"/>
          <w:szCs w:val="21"/>
          <w:u w:val="single"/>
        </w:rPr>
        <w:t>）</w:t>
      </w:r>
      <w:r>
        <w:rPr>
          <w:rFonts w:hint="eastAsia" w:ascii="宋体" w:hAnsi="宋体"/>
          <w:szCs w:val="21"/>
        </w:rPr>
        <w:t>；并提供出具该信用报告的第三方征信机构在中国人民银行备案的证明材料</w:t>
      </w:r>
      <w:r>
        <w:rPr>
          <w:rFonts w:hint="eastAsia" w:ascii="宋体" w:hAnsi="宋体"/>
          <w:b/>
          <w:bCs/>
          <w:szCs w:val="21"/>
        </w:rPr>
        <w:t>（提供原件或复印件或网页打印件等）</w:t>
      </w:r>
      <w:r>
        <w:rPr>
          <w:rFonts w:hint="eastAsia" w:ascii="宋体" w:hAnsi="宋体"/>
          <w:szCs w:val="21"/>
        </w:rPr>
        <w:t>；</w:t>
      </w:r>
    </w:p>
    <w:p>
      <w:pPr>
        <w:spacing w:line="440" w:lineRule="exact"/>
        <w:ind w:left="480" w:leftChars="200"/>
        <w:rPr>
          <w:rFonts w:ascii="宋体" w:hAnsi="宋体"/>
          <w:szCs w:val="21"/>
        </w:rPr>
      </w:pPr>
      <w:r>
        <w:rPr>
          <w:rFonts w:hint="eastAsia" w:ascii="宋体" w:hAnsi="宋体"/>
          <w:szCs w:val="21"/>
        </w:rPr>
        <w:t>12.提供《武陟县公共资源交易中心交易诚信查询系统》诚信状态查询结果，交易诚信状态查询结果须为“绿色”状态（查询时间自招标公告发布之日起至开标时间前一天止）；</w:t>
      </w:r>
    </w:p>
    <w:p>
      <w:pPr>
        <w:spacing w:line="440" w:lineRule="exact"/>
        <w:ind w:left="480" w:leftChars="200"/>
        <w:rPr>
          <w:rFonts w:ascii="宋体" w:hAnsi="宋体"/>
          <w:szCs w:val="21"/>
        </w:rPr>
      </w:pPr>
      <w:r>
        <w:rPr>
          <w:rFonts w:hint="eastAsia" w:ascii="宋体" w:hAnsi="宋体"/>
          <w:szCs w:val="21"/>
        </w:rPr>
        <w:t>13不得被列入失信被执行人、重大税收违法案件当事人名单、政府采购严重违法失信行为记录名单、经营异常名录或者严重违法失信企业名单（以采购人、采购代理机构在投标文件提交截止时间当日的查询结果为准，该条资料投标文件中无需提供）；</w:t>
      </w:r>
    </w:p>
    <w:p>
      <w:pPr>
        <w:spacing w:line="440" w:lineRule="exact"/>
        <w:ind w:firstLine="482" w:firstLineChars="200"/>
        <w:rPr>
          <w:rFonts w:ascii="宋体" w:hAnsi="宋体"/>
        </w:rPr>
      </w:pPr>
      <w:r>
        <w:rPr>
          <w:rFonts w:hint="eastAsia" w:ascii="宋体" w:hAnsi="宋体"/>
          <w:b/>
          <w:szCs w:val="21"/>
        </w:rPr>
        <w:t>注：所有要求“原件资格审查时核查”的，投标文件资格证明文件中均需附复印件并加盖投标人公章，未提供原件或原件与复印件不一致的视为无效投标。</w:t>
      </w:r>
    </w:p>
    <w:p>
      <w:pPr>
        <w:widowControl/>
        <w:snapToGrid w:val="0"/>
        <w:spacing w:line="480" w:lineRule="exact"/>
        <w:ind w:left="420"/>
        <w:jc w:val="center"/>
        <w:rPr>
          <w:rFonts w:ascii="宋体" w:hAnsi="宋体"/>
          <w:sz w:val="32"/>
          <w:szCs w:val="32"/>
          <w:highlight w:val="yellow"/>
        </w:rPr>
      </w:pPr>
    </w:p>
    <w:p>
      <w:pPr>
        <w:widowControl/>
        <w:snapToGrid w:val="0"/>
        <w:spacing w:line="480" w:lineRule="exact"/>
        <w:ind w:left="420"/>
        <w:jc w:val="center"/>
        <w:rPr>
          <w:rFonts w:ascii="宋体" w:hAnsi="宋体"/>
          <w:sz w:val="32"/>
          <w:szCs w:val="32"/>
          <w:highlight w:val="yellow"/>
        </w:rPr>
      </w:pPr>
    </w:p>
    <w:p>
      <w:pPr>
        <w:widowControl/>
        <w:snapToGrid w:val="0"/>
        <w:spacing w:line="480" w:lineRule="exact"/>
        <w:ind w:left="420"/>
        <w:jc w:val="center"/>
        <w:rPr>
          <w:rFonts w:ascii="宋体" w:hAnsi="宋体"/>
          <w:sz w:val="32"/>
          <w:szCs w:val="32"/>
          <w:highlight w:val="yellow"/>
        </w:rPr>
      </w:pPr>
    </w:p>
    <w:p>
      <w:pPr>
        <w:widowControl/>
        <w:snapToGrid w:val="0"/>
        <w:spacing w:line="480" w:lineRule="exact"/>
        <w:ind w:left="420"/>
        <w:jc w:val="center"/>
        <w:rPr>
          <w:rFonts w:ascii="宋体" w:hAnsi="宋体"/>
          <w:sz w:val="32"/>
          <w:szCs w:val="32"/>
          <w:highlight w:val="yellow"/>
        </w:rPr>
      </w:pPr>
    </w:p>
    <w:p>
      <w:pPr>
        <w:widowControl/>
        <w:snapToGrid w:val="0"/>
        <w:spacing w:line="480" w:lineRule="exact"/>
        <w:ind w:left="420"/>
        <w:jc w:val="center"/>
        <w:rPr>
          <w:rFonts w:ascii="宋体" w:hAnsi="宋体"/>
          <w:sz w:val="32"/>
          <w:szCs w:val="32"/>
          <w:highlight w:val="yellow"/>
        </w:rPr>
      </w:pPr>
    </w:p>
    <w:p>
      <w:pPr>
        <w:widowControl/>
        <w:snapToGrid w:val="0"/>
        <w:spacing w:line="480" w:lineRule="exact"/>
        <w:ind w:left="420"/>
        <w:jc w:val="center"/>
        <w:rPr>
          <w:rFonts w:ascii="宋体" w:hAnsi="宋体"/>
          <w:sz w:val="32"/>
          <w:szCs w:val="32"/>
          <w:highlight w:val="yellow"/>
        </w:rPr>
      </w:pPr>
    </w:p>
    <w:p>
      <w:pPr>
        <w:spacing w:line="440" w:lineRule="exact"/>
        <w:ind w:firstLine="482" w:firstLineChars="200"/>
        <w:rPr>
          <w:rFonts w:ascii="宋体" w:hAnsi="宋体"/>
          <w:b/>
          <w:szCs w:val="21"/>
        </w:rPr>
      </w:pPr>
    </w:p>
    <w:p>
      <w:pPr>
        <w:spacing w:line="360" w:lineRule="auto"/>
        <w:jc w:val="center"/>
        <w:rPr>
          <w:rFonts w:ascii="宋体" w:hAnsi="宋体"/>
          <w:b/>
          <w:sz w:val="36"/>
          <w:szCs w:val="36"/>
        </w:rPr>
      </w:pPr>
    </w:p>
    <w:p>
      <w:pPr>
        <w:spacing w:line="360" w:lineRule="auto"/>
        <w:jc w:val="center"/>
        <w:rPr>
          <w:rFonts w:ascii="宋体" w:hAnsi="宋体"/>
          <w:b/>
          <w:sz w:val="36"/>
          <w:szCs w:val="36"/>
        </w:rPr>
      </w:pPr>
    </w:p>
    <w:p>
      <w:pPr>
        <w:pStyle w:val="26"/>
        <w:ind w:firstLine="480"/>
      </w:pPr>
    </w:p>
    <w:p>
      <w:pPr>
        <w:pStyle w:val="26"/>
        <w:ind w:firstLine="480"/>
      </w:pPr>
    </w:p>
    <w:p>
      <w:pPr>
        <w:pStyle w:val="26"/>
        <w:ind w:firstLine="480"/>
      </w:pPr>
    </w:p>
    <w:p>
      <w:pPr>
        <w:pStyle w:val="26"/>
        <w:ind w:firstLine="480"/>
      </w:pPr>
    </w:p>
    <w:p>
      <w:pPr>
        <w:spacing w:line="360" w:lineRule="auto"/>
        <w:jc w:val="center"/>
        <w:rPr>
          <w:rFonts w:ascii="宋体" w:hAnsi="宋体"/>
          <w:b/>
          <w:sz w:val="36"/>
          <w:szCs w:val="36"/>
        </w:rPr>
      </w:pPr>
    </w:p>
    <w:p>
      <w:pPr>
        <w:spacing w:line="360" w:lineRule="auto"/>
        <w:jc w:val="center"/>
        <w:rPr>
          <w:rFonts w:ascii="宋体" w:hAnsi="宋体"/>
          <w:b/>
          <w:sz w:val="36"/>
          <w:szCs w:val="36"/>
        </w:rPr>
      </w:pPr>
    </w:p>
    <w:p>
      <w:pPr>
        <w:spacing w:line="360" w:lineRule="auto"/>
        <w:jc w:val="center"/>
        <w:rPr>
          <w:rFonts w:ascii="宋体" w:hAnsi="宋体"/>
          <w:b/>
          <w:sz w:val="36"/>
          <w:szCs w:val="36"/>
        </w:rPr>
      </w:pPr>
    </w:p>
    <w:p>
      <w:pPr>
        <w:spacing w:line="360" w:lineRule="auto"/>
        <w:jc w:val="center"/>
        <w:rPr>
          <w:rFonts w:ascii="宋体" w:hAnsi="宋体"/>
          <w:b/>
          <w:sz w:val="36"/>
          <w:szCs w:val="36"/>
        </w:rPr>
      </w:pPr>
    </w:p>
    <w:p>
      <w:pPr>
        <w:spacing w:line="360" w:lineRule="auto"/>
        <w:jc w:val="center"/>
        <w:rPr>
          <w:rFonts w:ascii="宋体" w:hAnsi="宋体"/>
          <w:b/>
          <w:sz w:val="36"/>
          <w:szCs w:val="36"/>
        </w:rPr>
      </w:pPr>
      <w:r>
        <w:rPr>
          <w:rFonts w:hint="eastAsia" w:ascii="宋体" w:hAnsi="宋体"/>
          <w:b/>
          <w:sz w:val="36"/>
          <w:szCs w:val="36"/>
        </w:rPr>
        <w:t>投标人开标前三年内在经营活动中无重大违法记录</w:t>
      </w:r>
    </w:p>
    <w:p>
      <w:pPr>
        <w:spacing w:line="360" w:lineRule="auto"/>
        <w:jc w:val="center"/>
        <w:rPr>
          <w:rFonts w:ascii="宋体" w:hAnsi="宋体"/>
          <w:sz w:val="32"/>
          <w:szCs w:val="32"/>
        </w:rPr>
      </w:pPr>
      <w:r>
        <w:rPr>
          <w:rFonts w:hint="eastAsia" w:ascii="宋体" w:hAnsi="宋体"/>
          <w:b/>
          <w:sz w:val="36"/>
          <w:szCs w:val="36"/>
        </w:rPr>
        <w:t>的书面声明</w:t>
      </w:r>
    </w:p>
    <w:p>
      <w:pPr>
        <w:spacing w:beforeLines="50" w:afterLines="50" w:line="480" w:lineRule="auto"/>
        <w:rPr>
          <w:rFonts w:ascii="宋体" w:hAnsi="宋体"/>
          <w:szCs w:val="21"/>
        </w:rPr>
      </w:pPr>
      <w:r>
        <w:rPr>
          <w:rFonts w:hint="eastAsia" w:ascii="宋体" w:hAnsi="宋体"/>
          <w:szCs w:val="21"/>
        </w:rPr>
        <w:t>致：（采购人）</w:t>
      </w:r>
    </w:p>
    <w:p>
      <w:pPr>
        <w:spacing w:beforeLines="50" w:afterLines="50" w:line="480" w:lineRule="auto"/>
        <w:ind w:firstLine="480" w:firstLineChars="200"/>
        <w:rPr>
          <w:rFonts w:ascii="宋体" w:hAnsi="宋体"/>
          <w:szCs w:val="21"/>
        </w:rPr>
      </w:pPr>
      <w:r>
        <w:rPr>
          <w:rFonts w:hint="eastAsia" w:ascii="宋体" w:hAnsi="宋体"/>
          <w:szCs w:val="21"/>
        </w:rPr>
        <w:t>我公司近三年内在经营活动中没有重大违法记录。若发现我公司近三年内在经营活动中有重大违法行为记录，我公司投标无效，并承担由此造成的一切后果。</w:t>
      </w:r>
    </w:p>
    <w:p>
      <w:pPr>
        <w:spacing w:beforeLines="50" w:afterLines="50" w:line="480" w:lineRule="auto"/>
        <w:ind w:firstLine="480" w:firstLineChars="200"/>
        <w:rPr>
          <w:rFonts w:ascii="宋体" w:hAnsi="宋体"/>
          <w:szCs w:val="21"/>
        </w:rPr>
      </w:pPr>
      <w:r>
        <w:rPr>
          <w:rFonts w:hint="eastAsia" w:ascii="宋体" w:hAnsi="宋体"/>
          <w:szCs w:val="21"/>
        </w:rPr>
        <w:t>特此声明。</w:t>
      </w:r>
    </w:p>
    <w:p>
      <w:pPr>
        <w:spacing w:beforeLines="50" w:afterLines="50" w:line="480" w:lineRule="auto"/>
        <w:rPr>
          <w:rFonts w:ascii="宋体" w:hAnsi="宋体"/>
          <w:szCs w:val="21"/>
        </w:rPr>
      </w:pPr>
      <w:r>
        <w:rPr>
          <w:rFonts w:hint="eastAsia" w:ascii="宋体" w:hAnsi="宋体"/>
          <w:szCs w:val="21"/>
        </w:rPr>
        <w:t xml:space="preserve">                                        投标人名称（全称并加盖公章）：</w:t>
      </w:r>
    </w:p>
    <w:p>
      <w:pPr>
        <w:spacing w:beforeLines="50" w:afterLines="50" w:line="480" w:lineRule="auto"/>
        <w:rPr>
          <w:rFonts w:ascii="宋体" w:hAnsi="宋体"/>
          <w:szCs w:val="21"/>
        </w:rPr>
      </w:pPr>
      <w:r>
        <w:rPr>
          <w:rFonts w:hint="eastAsia" w:ascii="宋体" w:hAnsi="宋体"/>
          <w:szCs w:val="21"/>
        </w:rPr>
        <w:t xml:space="preserve">                                        法定代表人或其委托代理人（签字）：</w:t>
      </w:r>
    </w:p>
    <w:p>
      <w:pPr>
        <w:spacing w:beforeLines="50" w:afterLines="50" w:line="480" w:lineRule="auto"/>
        <w:rPr>
          <w:rFonts w:ascii="宋体" w:hAnsi="宋体"/>
          <w:szCs w:val="21"/>
        </w:rPr>
      </w:pPr>
      <w:r>
        <w:rPr>
          <w:rFonts w:hint="eastAsia" w:ascii="宋体" w:hAnsi="宋体"/>
          <w:szCs w:val="21"/>
        </w:rPr>
        <w:t xml:space="preserve">                                                         时间：     年   月   日 </w:t>
      </w:r>
    </w:p>
    <w:p>
      <w:pPr>
        <w:spacing w:line="360" w:lineRule="auto"/>
        <w:jc w:val="right"/>
        <w:rPr>
          <w:rFonts w:ascii="宋体" w:hAnsi="宋体"/>
          <w:szCs w:val="21"/>
        </w:rPr>
      </w:pPr>
    </w:p>
    <w:p>
      <w:pPr>
        <w:widowControl/>
        <w:spacing w:line="580" w:lineRule="atLeast"/>
        <w:rPr>
          <w:rFonts w:ascii="宋体" w:hAnsi="宋体"/>
          <w:b/>
          <w:bCs/>
          <w:szCs w:val="21"/>
        </w:rPr>
      </w:pPr>
      <w:r>
        <w:rPr>
          <w:rFonts w:hint="eastAsia" w:ascii="宋体" w:hAnsi="宋体"/>
          <w:b/>
          <w:bCs/>
          <w:szCs w:val="21"/>
        </w:rPr>
        <w:t>注：如有请将以上相关资料附后。</w:t>
      </w:r>
    </w:p>
    <w:p>
      <w:pPr>
        <w:widowControl/>
        <w:spacing w:line="580" w:lineRule="atLeast"/>
        <w:rPr>
          <w:rFonts w:ascii="宋体" w:hAnsi="宋体"/>
          <w:b/>
          <w:bCs/>
        </w:rPr>
      </w:pPr>
    </w:p>
    <w:p>
      <w:pPr>
        <w:widowControl/>
        <w:spacing w:line="580" w:lineRule="atLeast"/>
        <w:rPr>
          <w:rFonts w:ascii="宋体" w:hAnsi="宋体"/>
          <w:b/>
          <w:bCs/>
        </w:rPr>
      </w:pPr>
    </w:p>
    <w:p>
      <w:pPr>
        <w:widowControl/>
        <w:spacing w:line="580" w:lineRule="atLeast"/>
        <w:rPr>
          <w:rFonts w:ascii="宋体" w:hAnsi="宋体"/>
          <w:b/>
          <w:bCs/>
        </w:rPr>
      </w:pPr>
    </w:p>
    <w:p>
      <w:pPr>
        <w:widowControl/>
        <w:spacing w:line="580" w:lineRule="atLeast"/>
        <w:rPr>
          <w:rFonts w:ascii="宋体" w:hAnsi="宋体"/>
          <w:b/>
          <w:bCs/>
        </w:rPr>
      </w:pPr>
    </w:p>
    <w:p>
      <w:pPr>
        <w:widowControl/>
        <w:spacing w:line="580" w:lineRule="atLeast"/>
        <w:rPr>
          <w:rFonts w:ascii="宋体" w:hAnsi="宋体"/>
          <w:b/>
          <w:bCs/>
        </w:rPr>
      </w:pPr>
    </w:p>
    <w:p>
      <w:pPr>
        <w:pStyle w:val="26"/>
        <w:ind w:firstLine="480"/>
      </w:pPr>
    </w:p>
    <w:p>
      <w:pPr>
        <w:pStyle w:val="26"/>
        <w:ind w:firstLine="480"/>
      </w:pPr>
    </w:p>
    <w:p>
      <w:pPr>
        <w:pStyle w:val="31"/>
        <w:ind w:right="560"/>
        <w:jc w:val="right"/>
        <w:rPr>
          <w:b/>
          <w:bCs/>
          <w:sz w:val="28"/>
        </w:rPr>
      </w:pPr>
    </w:p>
    <w:p>
      <w:pPr>
        <w:widowControl/>
        <w:spacing w:line="580" w:lineRule="atLeast"/>
        <w:jc w:val="center"/>
        <w:rPr>
          <w:rFonts w:ascii="宋体" w:hAnsi="宋体"/>
          <w:b/>
          <w:kern w:val="44"/>
          <w:sz w:val="32"/>
          <w:szCs w:val="32"/>
        </w:rPr>
      </w:pPr>
      <w:r>
        <w:rPr>
          <w:rFonts w:hint="eastAsia" w:ascii="宋体" w:hAnsi="宋体"/>
          <w:b/>
          <w:kern w:val="44"/>
          <w:sz w:val="32"/>
          <w:szCs w:val="32"/>
        </w:rPr>
        <w:t>具备良好的商业信誉和健全的财务会计制度的承诺</w:t>
      </w:r>
    </w:p>
    <w:p>
      <w:pPr>
        <w:pStyle w:val="31"/>
        <w:ind w:right="560"/>
        <w:rPr>
          <w:kern w:val="2"/>
          <w:sz w:val="21"/>
          <w:szCs w:val="21"/>
        </w:rPr>
      </w:pPr>
      <w:r>
        <w:rPr>
          <w:rFonts w:hint="eastAsia"/>
          <w:kern w:val="2"/>
          <w:sz w:val="21"/>
          <w:szCs w:val="21"/>
        </w:rPr>
        <w:t>本投标人郑重声明：</w:t>
      </w:r>
    </w:p>
    <w:p>
      <w:pPr>
        <w:pStyle w:val="31"/>
        <w:ind w:right="560" w:firstLine="405"/>
        <w:rPr>
          <w:kern w:val="2"/>
          <w:sz w:val="21"/>
          <w:szCs w:val="21"/>
        </w:rPr>
      </w:pPr>
      <w:r>
        <w:rPr>
          <w:rFonts w:hint="eastAsia"/>
          <w:kern w:val="2"/>
          <w:sz w:val="21"/>
          <w:szCs w:val="21"/>
        </w:rPr>
        <w:t>本公司（或单位）具备良好的商业信誉和健全的财务会计制度，特此承诺。</w:t>
      </w:r>
    </w:p>
    <w:p>
      <w:pPr>
        <w:spacing w:beforeLines="50" w:afterLines="50" w:line="480" w:lineRule="auto"/>
        <w:jc w:val="center"/>
        <w:rPr>
          <w:rFonts w:ascii="宋体" w:hAnsi="宋体"/>
          <w:szCs w:val="21"/>
        </w:rPr>
      </w:pPr>
    </w:p>
    <w:p>
      <w:pPr>
        <w:spacing w:beforeLines="50" w:afterLines="50" w:line="480" w:lineRule="auto"/>
        <w:jc w:val="center"/>
        <w:rPr>
          <w:rFonts w:ascii="宋体" w:hAnsi="宋体"/>
          <w:szCs w:val="21"/>
        </w:rPr>
      </w:pPr>
    </w:p>
    <w:p>
      <w:pPr>
        <w:spacing w:beforeLines="50" w:afterLines="50" w:line="480" w:lineRule="auto"/>
        <w:jc w:val="center"/>
        <w:rPr>
          <w:rFonts w:ascii="宋体" w:hAnsi="宋体"/>
          <w:szCs w:val="21"/>
        </w:rPr>
      </w:pPr>
    </w:p>
    <w:p>
      <w:pPr>
        <w:spacing w:beforeLines="50" w:afterLines="50" w:line="480" w:lineRule="auto"/>
        <w:rPr>
          <w:rFonts w:ascii="宋体" w:hAnsi="宋体"/>
          <w:szCs w:val="21"/>
        </w:rPr>
      </w:pPr>
    </w:p>
    <w:p>
      <w:pPr>
        <w:spacing w:beforeLines="50" w:afterLines="50" w:line="480" w:lineRule="auto"/>
        <w:jc w:val="center"/>
        <w:rPr>
          <w:rFonts w:ascii="宋体" w:hAnsi="宋体"/>
          <w:szCs w:val="21"/>
        </w:rPr>
      </w:pPr>
      <w:r>
        <w:rPr>
          <w:rFonts w:hint="eastAsia" w:ascii="宋体" w:hAnsi="宋体"/>
          <w:szCs w:val="21"/>
        </w:rPr>
        <w:t xml:space="preserve">     投标人名称（全称并加盖公章）：</w:t>
      </w:r>
    </w:p>
    <w:p>
      <w:pPr>
        <w:spacing w:beforeLines="50" w:afterLines="50" w:line="480" w:lineRule="auto"/>
        <w:rPr>
          <w:rFonts w:ascii="宋体" w:hAnsi="宋体"/>
          <w:szCs w:val="21"/>
        </w:rPr>
      </w:pPr>
      <w:r>
        <w:rPr>
          <w:rFonts w:hint="eastAsia" w:ascii="宋体" w:hAnsi="宋体"/>
          <w:szCs w:val="21"/>
        </w:rPr>
        <w:t xml:space="preserve">                             法定代表人或其委托代理人（签字）：</w:t>
      </w:r>
    </w:p>
    <w:p>
      <w:pPr>
        <w:spacing w:beforeLines="50" w:afterLines="50" w:line="480" w:lineRule="auto"/>
        <w:rPr>
          <w:rFonts w:ascii="宋体" w:hAnsi="宋体"/>
          <w:szCs w:val="21"/>
        </w:rPr>
      </w:pPr>
      <w:r>
        <w:rPr>
          <w:rFonts w:hint="eastAsia" w:ascii="宋体" w:hAnsi="宋体"/>
          <w:szCs w:val="21"/>
        </w:rPr>
        <w:t xml:space="preserve">                                                          时   间：  年   月   日 </w:t>
      </w:r>
    </w:p>
    <w:p>
      <w:pPr>
        <w:pStyle w:val="31"/>
        <w:ind w:right="560" w:firstLine="405"/>
        <w:rPr>
          <w:kern w:val="2"/>
          <w:sz w:val="21"/>
          <w:szCs w:val="21"/>
        </w:rPr>
      </w:pPr>
    </w:p>
    <w:p>
      <w:pPr>
        <w:pStyle w:val="31"/>
        <w:ind w:right="560" w:firstLine="405"/>
        <w:rPr>
          <w:kern w:val="2"/>
          <w:sz w:val="21"/>
          <w:szCs w:val="21"/>
        </w:rPr>
      </w:pPr>
    </w:p>
    <w:p>
      <w:pPr>
        <w:pStyle w:val="31"/>
        <w:ind w:right="560"/>
        <w:jc w:val="right"/>
        <w:rPr>
          <w:b/>
          <w:bCs/>
          <w:sz w:val="28"/>
        </w:rPr>
      </w:pPr>
    </w:p>
    <w:p>
      <w:pPr>
        <w:pStyle w:val="31"/>
        <w:ind w:right="560"/>
        <w:jc w:val="right"/>
        <w:rPr>
          <w:b/>
          <w:bCs/>
          <w:sz w:val="28"/>
        </w:rPr>
      </w:pPr>
    </w:p>
    <w:p>
      <w:pPr>
        <w:pStyle w:val="31"/>
        <w:ind w:right="560"/>
        <w:jc w:val="right"/>
        <w:rPr>
          <w:b/>
          <w:bCs/>
          <w:sz w:val="28"/>
        </w:rPr>
      </w:pPr>
    </w:p>
    <w:p>
      <w:pPr>
        <w:pStyle w:val="31"/>
        <w:ind w:right="560"/>
        <w:jc w:val="right"/>
        <w:rPr>
          <w:b/>
          <w:bCs/>
          <w:sz w:val="28"/>
        </w:rPr>
      </w:pPr>
    </w:p>
    <w:p>
      <w:pPr>
        <w:pStyle w:val="31"/>
        <w:ind w:right="560"/>
        <w:jc w:val="center"/>
        <w:rPr>
          <w:b/>
          <w:kern w:val="44"/>
          <w:sz w:val="32"/>
          <w:szCs w:val="32"/>
        </w:rPr>
      </w:pPr>
    </w:p>
    <w:p>
      <w:pPr>
        <w:pStyle w:val="31"/>
        <w:ind w:right="560"/>
        <w:jc w:val="center"/>
        <w:rPr>
          <w:b/>
          <w:kern w:val="44"/>
          <w:sz w:val="32"/>
          <w:szCs w:val="32"/>
        </w:rPr>
      </w:pPr>
      <w:r>
        <w:rPr>
          <w:rFonts w:hint="eastAsia"/>
          <w:b/>
          <w:kern w:val="44"/>
          <w:sz w:val="32"/>
          <w:szCs w:val="32"/>
        </w:rPr>
        <w:t>具备履行合同所必需的设备和专业技术能力的承诺</w:t>
      </w:r>
    </w:p>
    <w:p>
      <w:pPr>
        <w:pStyle w:val="31"/>
        <w:ind w:right="560"/>
        <w:rPr>
          <w:kern w:val="2"/>
          <w:sz w:val="21"/>
          <w:szCs w:val="21"/>
        </w:rPr>
      </w:pPr>
      <w:r>
        <w:rPr>
          <w:rFonts w:hint="eastAsia"/>
          <w:kern w:val="2"/>
          <w:sz w:val="21"/>
          <w:szCs w:val="21"/>
        </w:rPr>
        <w:t>本投标人郑重声明：</w:t>
      </w:r>
    </w:p>
    <w:p>
      <w:pPr>
        <w:pStyle w:val="31"/>
        <w:ind w:right="560" w:firstLine="405"/>
        <w:rPr>
          <w:kern w:val="2"/>
          <w:sz w:val="21"/>
          <w:szCs w:val="21"/>
        </w:rPr>
      </w:pPr>
      <w:r>
        <w:rPr>
          <w:rFonts w:hint="eastAsia"/>
          <w:kern w:val="2"/>
          <w:sz w:val="21"/>
          <w:szCs w:val="21"/>
        </w:rPr>
        <w:t>本公司（或单位）具备本项目履行合同所必须的设备和专业技术能力，特此承诺。</w:t>
      </w:r>
    </w:p>
    <w:p>
      <w:pPr>
        <w:spacing w:beforeLines="50" w:afterLines="50" w:line="480" w:lineRule="auto"/>
        <w:jc w:val="center"/>
        <w:rPr>
          <w:rFonts w:ascii="宋体" w:hAnsi="宋体"/>
          <w:szCs w:val="21"/>
        </w:rPr>
      </w:pPr>
    </w:p>
    <w:p>
      <w:pPr>
        <w:spacing w:beforeLines="50" w:afterLines="50" w:line="480" w:lineRule="auto"/>
        <w:jc w:val="center"/>
        <w:rPr>
          <w:rFonts w:ascii="宋体" w:hAnsi="宋体"/>
          <w:szCs w:val="21"/>
        </w:rPr>
      </w:pPr>
    </w:p>
    <w:p>
      <w:pPr>
        <w:spacing w:beforeLines="50" w:afterLines="50" w:line="480" w:lineRule="auto"/>
        <w:rPr>
          <w:rFonts w:ascii="宋体" w:hAnsi="宋体"/>
          <w:szCs w:val="21"/>
        </w:rPr>
      </w:pPr>
    </w:p>
    <w:p>
      <w:pPr>
        <w:spacing w:beforeLines="50" w:afterLines="50" w:line="480" w:lineRule="auto"/>
        <w:jc w:val="center"/>
        <w:rPr>
          <w:rFonts w:ascii="宋体" w:hAnsi="宋体"/>
          <w:szCs w:val="21"/>
        </w:rPr>
      </w:pPr>
      <w:r>
        <w:rPr>
          <w:rFonts w:hint="eastAsia" w:ascii="宋体" w:hAnsi="宋体"/>
          <w:szCs w:val="21"/>
        </w:rPr>
        <w:t xml:space="preserve">  投标人名称（全称并加盖公章）：</w:t>
      </w:r>
    </w:p>
    <w:p>
      <w:pPr>
        <w:spacing w:beforeLines="50" w:afterLines="50" w:line="480" w:lineRule="auto"/>
        <w:rPr>
          <w:rFonts w:ascii="宋体" w:hAnsi="宋体"/>
          <w:szCs w:val="21"/>
        </w:rPr>
      </w:pPr>
      <w:r>
        <w:rPr>
          <w:rFonts w:hint="eastAsia" w:ascii="宋体" w:hAnsi="宋体"/>
          <w:szCs w:val="21"/>
        </w:rPr>
        <w:t xml:space="preserve">                             法定代表人或其委托代理人（签字）：</w:t>
      </w:r>
    </w:p>
    <w:p>
      <w:pPr>
        <w:pStyle w:val="31"/>
        <w:ind w:right="560"/>
        <w:jc w:val="right"/>
        <w:rPr>
          <w:sz w:val="21"/>
          <w:szCs w:val="21"/>
        </w:rPr>
      </w:pPr>
      <w:r>
        <w:rPr>
          <w:rFonts w:hint="eastAsia"/>
          <w:sz w:val="21"/>
          <w:szCs w:val="21"/>
        </w:rPr>
        <w:t xml:space="preserve">                                                       时   间：  年   月   日</w:t>
      </w:r>
    </w:p>
    <w:p>
      <w:pPr>
        <w:pStyle w:val="31"/>
        <w:ind w:right="560"/>
        <w:jc w:val="right"/>
        <w:rPr>
          <w:szCs w:val="21"/>
        </w:rPr>
      </w:pPr>
    </w:p>
    <w:p>
      <w:pPr>
        <w:pStyle w:val="31"/>
        <w:ind w:right="560"/>
        <w:jc w:val="right"/>
        <w:rPr>
          <w:szCs w:val="21"/>
        </w:rPr>
      </w:pPr>
    </w:p>
    <w:p>
      <w:pPr>
        <w:pStyle w:val="31"/>
        <w:ind w:right="560"/>
        <w:jc w:val="right"/>
        <w:rPr>
          <w:szCs w:val="21"/>
        </w:rPr>
      </w:pPr>
    </w:p>
    <w:p>
      <w:pPr>
        <w:pStyle w:val="31"/>
        <w:ind w:right="560"/>
        <w:jc w:val="right"/>
        <w:rPr>
          <w:szCs w:val="21"/>
        </w:rPr>
      </w:pPr>
    </w:p>
    <w:p>
      <w:pPr>
        <w:pStyle w:val="31"/>
        <w:ind w:right="560"/>
        <w:jc w:val="right"/>
        <w:rPr>
          <w:szCs w:val="21"/>
        </w:rPr>
      </w:pPr>
    </w:p>
    <w:p>
      <w:pPr>
        <w:pStyle w:val="31"/>
        <w:ind w:right="560"/>
        <w:jc w:val="right"/>
        <w:rPr>
          <w:szCs w:val="21"/>
        </w:rPr>
      </w:pPr>
    </w:p>
    <w:p>
      <w:pPr>
        <w:pStyle w:val="31"/>
        <w:ind w:right="560"/>
        <w:jc w:val="right"/>
        <w:rPr>
          <w:szCs w:val="21"/>
        </w:rPr>
      </w:pPr>
    </w:p>
    <w:p>
      <w:pPr>
        <w:pStyle w:val="31"/>
        <w:ind w:right="560"/>
        <w:jc w:val="right"/>
        <w:rPr>
          <w:szCs w:val="21"/>
        </w:rPr>
      </w:pPr>
    </w:p>
    <w:p>
      <w:pPr>
        <w:pStyle w:val="31"/>
        <w:ind w:right="560"/>
        <w:jc w:val="right"/>
        <w:rPr>
          <w:szCs w:val="21"/>
        </w:rPr>
      </w:pPr>
    </w:p>
    <w:p>
      <w:pPr>
        <w:jc w:val="center"/>
        <w:rPr>
          <w:rFonts w:ascii="宋体" w:hAnsi="宋体"/>
          <w:b/>
          <w:sz w:val="32"/>
          <w:szCs w:val="32"/>
        </w:rPr>
      </w:pPr>
      <w:r>
        <w:rPr>
          <w:rFonts w:hint="eastAsia" w:ascii="宋体" w:hAnsi="宋体"/>
          <w:b/>
          <w:sz w:val="32"/>
          <w:szCs w:val="32"/>
        </w:rPr>
        <w:t>无行贿犯罪记录承诺书</w:t>
      </w:r>
    </w:p>
    <w:p>
      <w:pPr>
        <w:spacing w:afterLines="100" w:line="440" w:lineRule="exact"/>
        <w:rPr>
          <w:rFonts w:ascii="宋体" w:hAnsi="宋体"/>
          <w:position w:val="-7"/>
          <w:szCs w:val="21"/>
        </w:rPr>
      </w:pPr>
    </w:p>
    <w:p>
      <w:pPr>
        <w:spacing w:afterLines="100" w:line="440" w:lineRule="exact"/>
        <w:rPr>
          <w:rFonts w:ascii="宋体" w:hAnsi="宋体"/>
          <w:szCs w:val="21"/>
        </w:rPr>
      </w:pPr>
      <w:r>
        <w:rPr>
          <w:rFonts w:hint="eastAsia" w:ascii="宋体" w:hAnsi="宋体"/>
          <w:position w:val="-7"/>
          <w:szCs w:val="21"/>
        </w:rPr>
        <w:t>————————</w:t>
      </w:r>
      <w:r>
        <w:rPr>
          <w:rFonts w:hint="eastAsia" w:ascii="宋体" w:hAnsi="宋体"/>
          <w:szCs w:val="21"/>
        </w:rPr>
        <w:t>（采购人名称）：</w:t>
      </w:r>
    </w:p>
    <w:p>
      <w:pPr>
        <w:spacing w:line="440" w:lineRule="exact"/>
        <w:ind w:firstLine="480" w:firstLineChars="200"/>
        <w:rPr>
          <w:rFonts w:ascii="宋体" w:hAnsi="宋体"/>
          <w:color w:val="000000"/>
          <w:szCs w:val="21"/>
          <w:shd w:val="clear" w:color="auto" w:fill="FFFFFF"/>
        </w:rPr>
      </w:pPr>
      <w:r>
        <w:rPr>
          <w:rFonts w:hint="eastAsia" w:ascii="宋体" w:hAnsi="宋体"/>
          <w:szCs w:val="21"/>
        </w:rPr>
        <w:t>我方在此声明，我方在</w:t>
      </w:r>
      <w:r>
        <w:rPr>
          <w:rFonts w:hint="eastAsia" w:ascii="宋体" w:hAnsi="宋体"/>
          <w:szCs w:val="21"/>
          <w:u w:val="single"/>
        </w:rPr>
        <w:t xml:space="preserve">   （项目名称）   </w:t>
      </w:r>
      <w:r>
        <w:rPr>
          <w:rFonts w:hint="eastAsia" w:ascii="宋体" w:hAnsi="宋体"/>
          <w:szCs w:val="21"/>
        </w:rPr>
        <w:t>招投标过程中所涉及的</w:t>
      </w:r>
      <w:r>
        <w:rPr>
          <w:rFonts w:hint="eastAsia" w:ascii="宋体" w:hAnsi="宋体"/>
          <w:color w:val="000000"/>
          <w:szCs w:val="21"/>
          <w:shd w:val="clear" w:color="auto" w:fill="FFFFFF"/>
        </w:rPr>
        <w:t>包括法人、法定代表人、委托代理人均无行贿犯罪记录。</w:t>
      </w:r>
    </w:p>
    <w:p>
      <w:pPr>
        <w:spacing w:line="440" w:lineRule="exact"/>
        <w:ind w:firstLine="480" w:firstLineChars="200"/>
        <w:rPr>
          <w:rFonts w:ascii="宋体" w:hAnsi="宋体"/>
          <w:szCs w:val="21"/>
        </w:rPr>
      </w:pPr>
      <w:r>
        <w:rPr>
          <w:rFonts w:hint="eastAsia" w:ascii="宋体" w:hAnsi="宋体"/>
          <w:szCs w:val="21"/>
        </w:rPr>
        <w:t>我方保证上述信息的真实和准确，并愿意承担因我方就此弄虚作假所引起的一切法律后果。</w:t>
      </w:r>
    </w:p>
    <w:p>
      <w:pPr>
        <w:spacing w:line="440" w:lineRule="exact"/>
        <w:ind w:firstLine="480" w:firstLineChars="200"/>
        <w:rPr>
          <w:rFonts w:ascii="宋体" w:hAnsi="宋体"/>
          <w:szCs w:val="21"/>
        </w:rPr>
      </w:pPr>
    </w:p>
    <w:p>
      <w:pPr>
        <w:spacing w:line="440" w:lineRule="exact"/>
        <w:ind w:firstLine="480" w:firstLineChars="200"/>
        <w:rPr>
          <w:rFonts w:ascii="宋体" w:hAnsi="宋体"/>
          <w:szCs w:val="21"/>
        </w:rPr>
      </w:pPr>
    </w:p>
    <w:p>
      <w:pPr>
        <w:spacing w:line="440" w:lineRule="exact"/>
        <w:ind w:firstLine="480" w:firstLineChars="200"/>
        <w:rPr>
          <w:rFonts w:ascii="宋体" w:hAnsi="宋体"/>
          <w:szCs w:val="21"/>
        </w:rPr>
      </w:pPr>
      <w:r>
        <w:rPr>
          <w:rFonts w:hint="eastAsia" w:ascii="宋体" w:hAnsi="宋体"/>
          <w:szCs w:val="21"/>
        </w:rPr>
        <w:t>特此承诺</w:t>
      </w:r>
    </w:p>
    <w:p>
      <w:pPr>
        <w:spacing w:line="440" w:lineRule="exact"/>
        <w:ind w:firstLine="480" w:firstLineChars="200"/>
        <w:rPr>
          <w:rFonts w:ascii="宋体" w:hAnsi="宋体"/>
          <w:szCs w:val="21"/>
        </w:rPr>
      </w:pPr>
    </w:p>
    <w:p>
      <w:pPr>
        <w:jc w:val="left"/>
        <w:rPr>
          <w:rFonts w:ascii="宋体" w:hAnsi="宋体"/>
          <w:szCs w:val="21"/>
        </w:rPr>
      </w:pPr>
    </w:p>
    <w:p>
      <w:pPr>
        <w:jc w:val="left"/>
        <w:rPr>
          <w:rFonts w:ascii="宋体" w:hAnsi="宋体"/>
          <w:szCs w:val="21"/>
        </w:rPr>
      </w:pPr>
    </w:p>
    <w:p>
      <w:pPr>
        <w:jc w:val="left"/>
        <w:rPr>
          <w:rFonts w:ascii="宋体" w:hAnsi="宋体"/>
          <w:szCs w:val="21"/>
        </w:rPr>
      </w:pPr>
    </w:p>
    <w:p>
      <w:pPr>
        <w:jc w:val="left"/>
        <w:rPr>
          <w:rFonts w:ascii="宋体" w:hAnsi="宋体"/>
          <w:szCs w:val="21"/>
        </w:rPr>
      </w:pPr>
    </w:p>
    <w:p>
      <w:pPr>
        <w:spacing w:beforeLines="50" w:afterLines="50" w:line="480" w:lineRule="auto"/>
        <w:jc w:val="center"/>
        <w:rPr>
          <w:rFonts w:ascii="宋体" w:hAnsi="宋体"/>
          <w:szCs w:val="21"/>
        </w:rPr>
      </w:pPr>
      <w:r>
        <w:rPr>
          <w:rFonts w:hint="eastAsia" w:ascii="宋体" w:hAnsi="宋体"/>
          <w:szCs w:val="21"/>
        </w:rPr>
        <w:t xml:space="preserve">  投标人名称（全称并加盖公章）：</w:t>
      </w:r>
    </w:p>
    <w:p>
      <w:pPr>
        <w:spacing w:beforeLines="50" w:afterLines="50" w:line="480" w:lineRule="auto"/>
        <w:rPr>
          <w:rFonts w:ascii="宋体" w:hAnsi="宋体"/>
          <w:szCs w:val="21"/>
        </w:rPr>
      </w:pPr>
      <w:r>
        <w:rPr>
          <w:rFonts w:hint="eastAsia" w:ascii="宋体" w:hAnsi="宋体"/>
          <w:szCs w:val="21"/>
        </w:rPr>
        <w:t xml:space="preserve">                             法定代表人或其委托代理人（签字）：</w:t>
      </w:r>
    </w:p>
    <w:p>
      <w:pPr>
        <w:spacing w:line="440" w:lineRule="exact"/>
        <w:jc w:val="right"/>
        <w:rPr>
          <w:rFonts w:ascii="宋体" w:hAnsi="宋体"/>
          <w:szCs w:val="21"/>
        </w:rPr>
      </w:pPr>
    </w:p>
    <w:p>
      <w:pPr>
        <w:spacing w:line="440" w:lineRule="exact"/>
        <w:jc w:val="right"/>
        <w:rPr>
          <w:rFonts w:ascii="宋体" w:hAnsi="宋体"/>
          <w:szCs w:val="21"/>
        </w:rPr>
      </w:pPr>
      <w:r>
        <w:rPr>
          <w:rFonts w:hint="eastAsia" w:ascii="宋体" w:hAnsi="宋体"/>
          <w:szCs w:val="21"/>
        </w:rPr>
        <w:t>年月日</w:t>
      </w:r>
    </w:p>
    <w:p>
      <w:pPr>
        <w:spacing w:line="440" w:lineRule="exact"/>
        <w:jc w:val="right"/>
        <w:rPr>
          <w:rFonts w:ascii="宋体" w:hAnsi="宋体"/>
          <w:szCs w:val="21"/>
        </w:rPr>
      </w:pPr>
    </w:p>
    <w:p>
      <w:pPr>
        <w:jc w:val="left"/>
        <w:rPr>
          <w:rFonts w:ascii="宋体" w:hAnsi="宋体"/>
          <w:szCs w:val="21"/>
        </w:rPr>
      </w:pPr>
    </w:p>
    <w:p>
      <w:pPr>
        <w:pStyle w:val="31"/>
        <w:ind w:right="560"/>
        <w:jc w:val="center"/>
        <w:rPr>
          <w:b/>
          <w:kern w:val="44"/>
          <w:sz w:val="32"/>
          <w:szCs w:val="32"/>
        </w:rPr>
      </w:pPr>
    </w:p>
    <w:p>
      <w:pPr>
        <w:pStyle w:val="31"/>
        <w:ind w:right="560"/>
        <w:jc w:val="center"/>
        <w:rPr>
          <w:b/>
          <w:kern w:val="44"/>
          <w:sz w:val="32"/>
          <w:szCs w:val="32"/>
        </w:rPr>
      </w:pPr>
    </w:p>
    <w:p>
      <w:pPr>
        <w:pStyle w:val="31"/>
        <w:spacing w:before="0" w:beforeAutospacing="0" w:after="0" w:afterAutospacing="0"/>
        <w:ind w:right="560"/>
        <w:jc w:val="center"/>
        <w:rPr>
          <w:b/>
          <w:bCs/>
          <w:sz w:val="32"/>
          <w:szCs w:val="32"/>
        </w:rPr>
      </w:pPr>
      <w:r>
        <w:rPr>
          <w:rFonts w:hint="eastAsia"/>
          <w:b/>
          <w:bCs/>
          <w:sz w:val="32"/>
          <w:szCs w:val="32"/>
        </w:rPr>
        <w:t>企业所在地的税务机关出具的正常纳税证明</w:t>
      </w:r>
    </w:p>
    <w:p>
      <w:pPr>
        <w:spacing w:line="360" w:lineRule="auto"/>
        <w:rPr>
          <w:rFonts w:ascii="宋体" w:hAnsi="宋体"/>
          <w:szCs w:val="21"/>
        </w:rPr>
      </w:pPr>
    </w:p>
    <w:p>
      <w:pPr>
        <w:spacing w:line="360" w:lineRule="auto"/>
        <w:rPr>
          <w:rFonts w:ascii="宋体" w:hAnsi="宋体"/>
          <w:szCs w:val="21"/>
        </w:rPr>
      </w:pPr>
      <w:r>
        <w:rPr>
          <w:rFonts w:hint="eastAsia" w:ascii="宋体" w:hAnsi="宋体"/>
          <w:szCs w:val="21"/>
        </w:rPr>
        <w:t xml:space="preserve">    说明：1.格式由投标人企业所在地的税务机关拟定，正常纳税证明中</w:t>
      </w:r>
      <w:r>
        <w:rPr>
          <w:rFonts w:hint="eastAsia" w:ascii="宋体" w:hAnsi="宋体"/>
          <w:b/>
          <w:bCs/>
          <w:szCs w:val="21"/>
        </w:rPr>
        <w:t>必须体现依法纳税时间区间不少于6个月</w:t>
      </w:r>
      <w:r>
        <w:rPr>
          <w:rFonts w:hint="eastAsia" w:ascii="宋体" w:hAnsi="宋体"/>
          <w:szCs w:val="21"/>
        </w:rPr>
        <w:t>，新成立企业不足6个月的自企业成立之日起（正常纳税证明出具日期在投标文件提交截止时间前30天以内）。</w:t>
      </w:r>
    </w:p>
    <w:p>
      <w:pPr>
        <w:spacing w:line="360" w:lineRule="auto"/>
        <w:ind w:firstLine="420"/>
        <w:rPr>
          <w:rFonts w:ascii="宋体" w:hAnsi="宋体"/>
          <w:szCs w:val="21"/>
        </w:rPr>
      </w:pPr>
      <w:r>
        <w:rPr>
          <w:rFonts w:hint="eastAsia" w:ascii="宋体" w:hAnsi="宋体"/>
          <w:szCs w:val="21"/>
        </w:rPr>
        <w:t>2.按照本章“资格证明材料”中的要求提供纳税凭据的无需提供该证明。</w:t>
      </w:r>
    </w:p>
    <w:p>
      <w:pPr>
        <w:ind w:right="560"/>
        <w:jc w:val="left"/>
        <w:rPr>
          <w:rFonts w:ascii="宋体" w:hAnsi="宋体"/>
          <w:color w:val="333333"/>
          <w:spacing w:val="8"/>
          <w:sz w:val="28"/>
          <w:szCs w:val="28"/>
          <w:shd w:val="clear" w:color="auto" w:fill="FFFFFF"/>
        </w:rPr>
      </w:pPr>
    </w:p>
    <w:p>
      <w:pPr>
        <w:pStyle w:val="31"/>
        <w:ind w:right="560"/>
        <w:jc w:val="center"/>
        <w:rPr>
          <w:b/>
          <w:kern w:val="44"/>
          <w:sz w:val="32"/>
          <w:szCs w:val="32"/>
        </w:rPr>
      </w:pPr>
    </w:p>
    <w:p>
      <w:pPr>
        <w:pStyle w:val="31"/>
        <w:ind w:right="560"/>
        <w:jc w:val="center"/>
        <w:rPr>
          <w:b/>
          <w:kern w:val="44"/>
          <w:sz w:val="32"/>
          <w:szCs w:val="32"/>
        </w:rPr>
      </w:pPr>
    </w:p>
    <w:p>
      <w:pPr>
        <w:pStyle w:val="31"/>
        <w:ind w:right="560"/>
        <w:jc w:val="center"/>
        <w:rPr>
          <w:b/>
          <w:kern w:val="44"/>
          <w:sz w:val="32"/>
          <w:szCs w:val="32"/>
        </w:rPr>
      </w:pPr>
    </w:p>
    <w:p>
      <w:pPr>
        <w:pStyle w:val="31"/>
        <w:ind w:right="560"/>
        <w:jc w:val="center"/>
        <w:rPr>
          <w:b/>
          <w:kern w:val="44"/>
          <w:sz w:val="32"/>
          <w:szCs w:val="32"/>
        </w:rPr>
      </w:pPr>
    </w:p>
    <w:p>
      <w:pPr>
        <w:pStyle w:val="31"/>
        <w:ind w:right="560"/>
        <w:jc w:val="center"/>
        <w:rPr>
          <w:b/>
          <w:kern w:val="44"/>
          <w:sz w:val="32"/>
          <w:szCs w:val="32"/>
        </w:rPr>
      </w:pPr>
    </w:p>
    <w:p>
      <w:pPr>
        <w:pStyle w:val="31"/>
        <w:ind w:right="560"/>
        <w:jc w:val="center"/>
        <w:rPr>
          <w:b/>
          <w:kern w:val="44"/>
          <w:sz w:val="32"/>
          <w:szCs w:val="32"/>
        </w:rPr>
      </w:pPr>
    </w:p>
    <w:p>
      <w:pPr>
        <w:pStyle w:val="31"/>
        <w:ind w:right="560"/>
        <w:jc w:val="center"/>
        <w:rPr>
          <w:b/>
          <w:kern w:val="44"/>
          <w:sz w:val="32"/>
          <w:szCs w:val="32"/>
        </w:rPr>
      </w:pPr>
    </w:p>
    <w:p>
      <w:pPr>
        <w:pStyle w:val="31"/>
        <w:ind w:right="560"/>
        <w:jc w:val="center"/>
        <w:rPr>
          <w:b/>
          <w:kern w:val="44"/>
          <w:sz w:val="32"/>
          <w:szCs w:val="32"/>
        </w:rPr>
      </w:pPr>
    </w:p>
    <w:p>
      <w:pPr>
        <w:pStyle w:val="31"/>
        <w:ind w:right="560"/>
        <w:jc w:val="center"/>
        <w:rPr>
          <w:b/>
          <w:kern w:val="44"/>
          <w:sz w:val="32"/>
          <w:szCs w:val="32"/>
        </w:rPr>
      </w:pPr>
    </w:p>
    <w:p>
      <w:pPr>
        <w:pStyle w:val="32"/>
        <w:numPr>
          <w:ilvl w:val="0"/>
          <w:numId w:val="2"/>
        </w:numPr>
        <w:spacing w:line="480" w:lineRule="exact"/>
        <w:ind w:right="-72" w:rightChars="-30"/>
        <w:rPr>
          <w:rFonts w:ascii="宋体" w:hAnsi="宋体" w:cs="宋体"/>
          <w:bCs w:val="0"/>
        </w:rPr>
      </w:pPr>
      <w:bookmarkStart w:id="34" w:name="_Toc7255"/>
      <w:bookmarkStart w:id="35" w:name="_Toc17444527"/>
      <w:r>
        <w:rPr>
          <w:rFonts w:hint="eastAsia" w:ascii="宋体" w:hAnsi="宋体" w:cs="宋体"/>
          <w:bCs w:val="0"/>
        </w:rPr>
        <w:t>投标文件商务、技术证明文件格式</w:t>
      </w:r>
      <w:bookmarkEnd w:id="34"/>
      <w:bookmarkEnd w:id="35"/>
    </w:p>
    <w:p>
      <w:pPr>
        <w:spacing w:line="560" w:lineRule="exact"/>
        <w:ind w:firstLine="560" w:firstLineChars="200"/>
        <w:rPr>
          <w:rFonts w:ascii="宋体" w:hAnsi="宋体"/>
          <w:sz w:val="28"/>
          <w:szCs w:val="28"/>
        </w:rPr>
      </w:pPr>
      <w:r>
        <w:rPr>
          <w:rFonts w:hint="eastAsia" w:ascii="宋体" w:hAnsi="宋体"/>
          <w:sz w:val="28"/>
          <w:szCs w:val="28"/>
        </w:rPr>
        <w:t>特别提醒：请投标人按照以下文件要求的格式、内容制作投标文件，并编制目录及页码，印刷（包括相关证明材料的复印件）清晰可辩，混乱的编排导致投标文件被误读或查找不到等后果，均由投标人自行承担。</w:t>
      </w:r>
    </w:p>
    <w:p>
      <w:pPr>
        <w:pStyle w:val="31"/>
        <w:ind w:right="560"/>
        <w:jc w:val="right"/>
        <w:rPr>
          <w:b/>
          <w:bCs/>
          <w:sz w:val="28"/>
        </w:rPr>
      </w:pPr>
    </w:p>
    <w:p>
      <w:pPr>
        <w:pStyle w:val="31"/>
        <w:ind w:right="560"/>
        <w:jc w:val="right"/>
        <w:rPr>
          <w:b/>
          <w:bCs/>
          <w:sz w:val="28"/>
        </w:rPr>
      </w:pPr>
    </w:p>
    <w:p>
      <w:pPr>
        <w:pStyle w:val="31"/>
        <w:ind w:right="560"/>
        <w:jc w:val="right"/>
        <w:rPr>
          <w:b/>
          <w:bCs/>
          <w:sz w:val="28"/>
        </w:rPr>
      </w:pPr>
    </w:p>
    <w:p>
      <w:pPr>
        <w:pStyle w:val="31"/>
        <w:ind w:right="560"/>
        <w:jc w:val="right"/>
        <w:rPr>
          <w:b/>
          <w:bCs/>
          <w:sz w:val="28"/>
        </w:rPr>
      </w:pPr>
    </w:p>
    <w:p>
      <w:pPr>
        <w:pStyle w:val="31"/>
        <w:ind w:right="560"/>
        <w:jc w:val="right"/>
        <w:rPr>
          <w:b/>
          <w:bCs/>
          <w:sz w:val="28"/>
        </w:rPr>
      </w:pPr>
    </w:p>
    <w:p>
      <w:pPr>
        <w:pStyle w:val="31"/>
        <w:ind w:right="560"/>
        <w:jc w:val="right"/>
        <w:rPr>
          <w:b/>
          <w:bCs/>
          <w:sz w:val="28"/>
        </w:rPr>
      </w:pPr>
    </w:p>
    <w:p>
      <w:pPr>
        <w:pStyle w:val="31"/>
        <w:ind w:right="560"/>
        <w:jc w:val="right"/>
        <w:rPr>
          <w:b/>
          <w:bCs/>
          <w:sz w:val="28"/>
        </w:rPr>
      </w:pPr>
    </w:p>
    <w:p>
      <w:pPr>
        <w:pStyle w:val="31"/>
        <w:ind w:right="560"/>
        <w:jc w:val="right"/>
        <w:rPr>
          <w:b/>
          <w:bCs/>
          <w:sz w:val="28"/>
        </w:rPr>
      </w:pPr>
    </w:p>
    <w:p>
      <w:pPr>
        <w:pStyle w:val="31"/>
        <w:ind w:right="560"/>
        <w:jc w:val="right"/>
        <w:rPr>
          <w:b/>
          <w:bCs/>
          <w:sz w:val="28"/>
        </w:rPr>
      </w:pPr>
    </w:p>
    <w:p>
      <w:pPr>
        <w:pStyle w:val="31"/>
        <w:ind w:right="560"/>
        <w:jc w:val="right"/>
        <w:rPr>
          <w:b/>
          <w:bCs/>
          <w:sz w:val="28"/>
        </w:rPr>
      </w:pPr>
    </w:p>
    <w:p>
      <w:pPr>
        <w:pStyle w:val="31"/>
        <w:ind w:right="560"/>
        <w:jc w:val="right"/>
        <w:rPr>
          <w:b/>
          <w:bCs/>
          <w:sz w:val="28"/>
        </w:rPr>
      </w:pPr>
    </w:p>
    <w:p>
      <w:pPr>
        <w:pStyle w:val="31"/>
        <w:ind w:right="560"/>
        <w:jc w:val="right"/>
        <w:rPr>
          <w:b/>
          <w:bCs/>
          <w:sz w:val="28"/>
        </w:rPr>
      </w:pPr>
    </w:p>
    <w:p>
      <w:pPr>
        <w:pStyle w:val="31"/>
        <w:ind w:right="560"/>
        <w:jc w:val="right"/>
        <w:rPr>
          <w:b/>
          <w:bCs/>
          <w:sz w:val="28"/>
        </w:rPr>
      </w:pPr>
    </w:p>
    <w:p>
      <w:pPr>
        <w:pStyle w:val="31"/>
        <w:ind w:right="560"/>
        <w:jc w:val="right"/>
        <w:rPr>
          <w:b/>
          <w:bCs/>
          <w:sz w:val="28"/>
        </w:rPr>
      </w:pPr>
    </w:p>
    <w:p>
      <w:pPr>
        <w:pStyle w:val="31"/>
        <w:ind w:right="1120"/>
        <w:jc w:val="center"/>
        <w:rPr>
          <w:b/>
          <w:bCs/>
          <w:sz w:val="28"/>
        </w:rPr>
      </w:pPr>
    </w:p>
    <w:p>
      <w:pPr>
        <w:pStyle w:val="31"/>
        <w:ind w:right="1120"/>
        <w:jc w:val="center"/>
        <w:rPr>
          <w:b/>
          <w:bCs/>
          <w:sz w:val="28"/>
        </w:rPr>
      </w:pPr>
    </w:p>
    <w:p>
      <w:pPr>
        <w:pStyle w:val="31"/>
        <w:ind w:right="560"/>
        <w:rPr>
          <w:sz w:val="28"/>
        </w:rPr>
      </w:pPr>
    </w:p>
    <w:p>
      <w:pPr>
        <w:pStyle w:val="31"/>
        <w:ind w:right="560"/>
        <w:rPr>
          <w:sz w:val="28"/>
        </w:rPr>
      </w:pPr>
      <w:r>
        <w:rPr>
          <w:rFonts w:hint="eastAsia"/>
          <w:sz w:val="28"/>
        </w:rPr>
        <w:t>投标文件</w:t>
      </w:r>
      <w:r>
        <w:rPr>
          <w:rFonts w:hint="eastAsia"/>
          <w:sz w:val="28"/>
          <w:szCs w:val="28"/>
        </w:rPr>
        <w:t>商务、技术证明文件封面格式：</w:t>
      </w:r>
    </w:p>
    <w:p>
      <w:pPr>
        <w:pStyle w:val="31"/>
        <w:ind w:right="560"/>
        <w:jc w:val="right"/>
        <w:rPr>
          <w:b/>
          <w:bCs/>
          <w:sz w:val="44"/>
          <w:szCs w:val="44"/>
        </w:rPr>
      </w:pPr>
      <w:r>
        <w:rPr>
          <w:rFonts w:hint="eastAsia"/>
          <w:b/>
          <w:bCs/>
          <w:sz w:val="28"/>
        </w:rPr>
        <w:t>（正本或副本）</w:t>
      </w:r>
    </w:p>
    <w:p>
      <w:pPr>
        <w:widowControl/>
        <w:spacing w:line="384" w:lineRule="auto"/>
        <w:jc w:val="center"/>
        <w:rPr>
          <w:rFonts w:ascii="宋体" w:hAnsi="宋体"/>
          <w:kern w:val="0"/>
          <w:sz w:val="44"/>
          <w:szCs w:val="44"/>
        </w:rPr>
      </w:pPr>
      <w:r>
        <w:rPr>
          <w:rFonts w:hint="eastAsia" w:ascii="宋体" w:hAnsi="宋体"/>
          <w:kern w:val="0"/>
          <w:sz w:val="44"/>
          <w:szCs w:val="44"/>
        </w:rPr>
        <w:t>（项目名称）</w:t>
      </w:r>
    </w:p>
    <w:p>
      <w:pPr>
        <w:widowControl/>
        <w:spacing w:line="384" w:lineRule="auto"/>
        <w:ind w:firstLine="2380" w:firstLineChars="850"/>
        <w:rPr>
          <w:rFonts w:ascii="宋体" w:hAnsi="宋体"/>
          <w:kern w:val="0"/>
          <w:sz w:val="28"/>
          <w:szCs w:val="28"/>
        </w:rPr>
      </w:pPr>
    </w:p>
    <w:p>
      <w:pPr>
        <w:widowControl/>
        <w:spacing w:line="384" w:lineRule="auto"/>
        <w:ind w:firstLine="2380" w:firstLineChars="850"/>
        <w:rPr>
          <w:rFonts w:ascii="宋体" w:hAnsi="宋体"/>
          <w:kern w:val="0"/>
          <w:sz w:val="28"/>
          <w:szCs w:val="28"/>
        </w:rPr>
      </w:pPr>
    </w:p>
    <w:p>
      <w:pPr>
        <w:widowControl/>
        <w:spacing w:line="384" w:lineRule="auto"/>
        <w:ind w:firstLine="2380" w:firstLineChars="850"/>
        <w:rPr>
          <w:rFonts w:ascii="宋体" w:hAnsi="宋体"/>
          <w:kern w:val="0"/>
          <w:sz w:val="28"/>
          <w:szCs w:val="28"/>
        </w:rPr>
      </w:pPr>
      <w:r>
        <w:rPr>
          <w:rFonts w:hint="eastAsia" w:ascii="宋体" w:hAnsi="宋体"/>
          <w:kern w:val="0"/>
          <w:sz w:val="28"/>
          <w:szCs w:val="28"/>
        </w:rPr>
        <w:t>项目编号：</w:t>
      </w:r>
    </w:p>
    <w:p>
      <w:pPr>
        <w:widowControl/>
        <w:spacing w:line="384" w:lineRule="auto"/>
        <w:ind w:firstLine="2240" w:firstLineChars="800"/>
        <w:rPr>
          <w:rFonts w:ascii="宋体" w:hAnsi="宋体"/>
          <w:kern w:val="0"/>
          <w:sz w:val="28"/>
          <w:szCs w:val="28"/>
        </w:rPr>
      </w:pPr>
      <w:r>
        <w:rPr>
          <w:rFonts w:hint="eastAsia" w:ascii="宋体" w:hAnsi="宋体"/>
          <w:kern w:val="0"/>
          <w:sz w:val="28"/>
          <w:szCs w:val="28"/>
        </w:rPr>
        <w:t xml:space="preserve"> 交易编号：</w:t>
      </w:r>
    </w:p>
    <w:p>
      <w:pPr>
        <w:widowControl/>
        <w:spacing w:line="384" w:lineRule="auto"/>
        <w:ind w:firstLine="2380" w:firstLineChars="850"/>
        <w:rPr>
          <w:rFonts w:ascii="宋体" w:hAnsi="宋体"/>
          <w:kern w:val="0"/>
          <w:sz w:val="28"/>
          <w:szCs w:val="28"/>
        </w:rPr>
      </w:pPr>
    </w:p>
    <w:p>
      <w:pPr>
        <w:widowControl/>
        <w:spacing w:line="384" w:lineRule="auto"/>
        <w:ind w:firstLine="2380" w:firstLineChars="850"/>
        <w:rPr>
          <w:rFonts w:ascii="宋体" w:hAnsi="宋体"/>
          <w:kern w:val="0"/>
          <w:sz w:val="28"/>
          <w:szCs w:val="28"/>
        </w:rPr>
      </w:pPr>
    </w:p>
    <w:p>
      <w:pPr>
        <w:jc w:val="center"/>
        <w:rPr>
          <w:rFonts w:ascii="宋体" w:hAnsi="宋体"/>
          <w:sz w:val="72"/>
          <w:szCs w:val="72"/>
        </w:rPr>
      </w:pPr>
      <w:r>
        <w:rPr>
          <w:rFonts w:hint="eastAsia" w:ascii="宋体" w:hAnsi="宋体"/>
          <w:sz w:val="72"/>
          <w:szCs w:val="72"/>
        </w:rPr>
        <w:t>投 标 文 件</w:t>
      </w:r>
    </w:p>
    <w:p>
      <w:pPr>
        <w:jc w:val="center"/>
        <w:rPr>
          <w:rFonts w:ascii="宋体" w:hAnsi="宋体"/>
          <w:b/>
          <w:bCs/>
          <w:sz w:val="28"/>
          <w:szCs w:val="28"/>
        </w:rPr>
      </w:pPr>
      <w:r>
        <w:rPr>
          <w:rFonts w:hint="eastAsia" w:ascii="宋体" w:hAnsi="宋体"/>
          <w:b/>
          <w:bCs/>
          <w:sz w:val="28"/>
          <w:szCs w:val="28"/>
        </w:rPr>
        <w:t>（商务、技术证明文件）</w:t>
      </w:r>
    </w:p>
    <w:p>
      <w:pPr>
        <w:jc w:val="center"/>
        <w:rPr>
          <w:rFonts w:ascii="宋体" w:hAnsi="宋体"/>
          <w:sz w:val="28"/>
          <w:szCs w:val="28"/>
        </w:rPr>
      </w:pPr>
    </w:p>
    <w:p>
      <w:pPr>
        <w:rPr>
          <w:rFonts w:ascii="宋体" w:hAnsi="宋体"/>
          <w:sz w:val="28"/>
          <w:szCs w:val="28"/>
        </w:rPr>
      </w:pPr>
    </w:p>
    <w:p>
      <w:pPr>
        <w:rPr>
          <w:rFonts w:ascii="宋体" w:hAnsi="宋体"/>
          <w:sz w:val="28"/>
          <w:szCs w:val="28"/>
        </w:rPr>
      </w:pPr>
    </w:p>
    <w:p>
      <w:pPr>
        <w:rPr>
          <w:rFonts w:ascii="宋体" w:hAnsi="宋体"/>
          <w:sz w:val="28"/>
          <w:szCs w:val="28"/>
        </w:rPr>
      </w:pPr>
    </w:p>
    <w:p>
      <w:pPr>
        <w:rPr>
          <w:rFonts w:ascii="宋体" w:hAnsi="宋体"/>
          <w:sz w:val="28"/>
          <w:szCs w:val="28"/>
        </w:rPr>
      </w:pPr>
    </w:p>
    <w:p>
      <w:pPr>
        <w:ind w:firstLine="1500" w:firstLineChars="500"/>
        <w:rPr>
          <w:rFonts w:ascii="宋体" w:hAnsi="宋体"/>
          <w:sz w:val="30"/>
          <w:szCs w:val="30"/>
        </w:rPr>
      </w:pPr>
      <w:r>
        <w:rPr>
          <w:rFonts w:hint="eastAsia" w:ascii="宋体" w:hAnsi="宋体"/>
          <w:sz w:val="30"/>
          <w:szCs w:val="30"/>
        </w:rPr>
        <w:t>采购人：</w:t>
      </w:r>
    </w:p>
    <w:p>
      <w:pPr>
        <w:spacing w:line="480" w:lineRule="auto"/>
        <w:ind w:left="840" w:leftChars="350" w:firstLine="726" w:firstLineChars="242"/>
        <w:rPr>
          <w:rFonts w:ascii="宋体" w:hAnsi="宋体"/>
          <w:sz w:val="30"/>
          <w:szCs w:val="30"/>
        </w:rPr>
      </w:pPr>
      <w:r>
        <w:rPr>
          <w:rFonts w:hint="eastAsia" w:ascii="宋体" w:hAnsi="宋体"/>
          <w:sz w:val="30"/>
          <w:szCs w:val="30"/>
        </w:rPr>
        <w:t>投标人名称（全称并加盖公章）：</w:t>
      </w:r>
    </w:p>
    <w:p>
      <w:pPr>
        <w:spacing w:line="480" w:lineRule="auto"/>
        <w:ind w:left="840" w:leftChars="350" w:firstLine="726" w:firstLineChars="242"/>
        <w:rPr>
          <w:rFonts w:ascii="宋体" w:hAnsi="宋体"/>
          <w:sz w:val="30"/>
          <w:szCs w:val="30"/>
        </w:rPr>
      </w:pPr>
      <w:r>
        <w:rPr>
          <w:rFonts w:hint="eastAsia" w:ascii="宋体" w:hAnsi="宋体"/>
          <w:sz w:val="30"/>
          <w:szCs w:val="30"/>
        </w:rPr>
        <w:t>法定代表人或其委托代理人（签字）：</w:t>
      </w:r>
    </w:p>
    <w:p>
      <w:pPr>
        <w:spacing w:line="480" w:lineRule="auto"/>
        <w:ind w:left="840" w:leftChars="350" w:firstLine="726" w:firstLineChars="242"/>
        <w:rPr>
          <w:rFonts w:ascii="宋体" w:hAnsi="宋体"/>
          <w:sz w:val="30"/>
          <w:szCs w:val="30"/>
        </w:rPr>
      </w:pPr>
      <w:r>
        <w:rPr>
          <w:rFonts w:hint="eastAsia" w:ascii="宋体" w:hAnsi="宋体"/>
          <w:sz w:val="30"/>
          <w:szCs w:val="30"/>
        </w:rPr>
        <w:t>日期：    年   月   日</w:t>
      </w:r>
    </w:p>
    <w:p>
      <w:pPr>
        <w:spacing w:line="480" w:lineRule="auto"/>
        <w:ind w:left="840" w:leftChars="350" w:firstLine="726" w:firstLineChars="242"/>
        <w:rPr>
          <w:rFonts w:ascii="宋体" w:hAnsi="宋体"/>
          <w:sz w:val="30"/>
          <w:szCs w:val="30"/>
        </w:rPr>
      </w:pPr>
    </w:p>
    <w:p>
      <w:pPr>
        <w:spacing w:line="360" w:lineRule="auto"/>
        <w:jc w:val="center"/>
        <w:rPr>
          <w:rFonts w:ascii="宋体" w:hAnsi="宋体"/>
          <w:b/>
          <w:bCs/>
          <w:sz w:val="32"/>
          <w:szCs w:val="32"/>
        </w:rPr>
      </w:pPr>
    </w:p>
    <w:p>
      <w:pPr>
        <w:spacing w:line="360" w:lineRule="auto"/>
        <w:jc w:val="center"/>
        <w:rPr>
          <w:rFonts w:ascii="宋体" w:hAnsi="宋体"/>
          <w:b/>
          <w:bCs/>
          <w:sz w:val="32"/>
          <w:szCs w:val="32"/>
        </w:rPr>
      </w:pPr>
      <w:r>
        <w:rPr>
          <w:rFonts w:hint="eastAsia" w:ascii="宋体" w:hAnsi="宋体"/>
          <w:b/>
          <w:bCs/>
          <w:sz w:val="32"/>
          <w:szCs w:val="32"/>
        </w:rPr>
        <w:t>目  录</w:t>
      </w:r>
    </w:p>
    <w:p>
      <w:pPr>
        <w:snapToGrid w:val="0"/>
        <w:rPr>
          <w:rFonts w:ascii="宋体" w:hAnsi="宋体"/>
          <w:color w:val="000000"/>
          <w:sz w:val="28"/>
          <w:szCs w:val="28"/>
        </w:rPr>
      </w:pPr>
    </w:p>
    <w:p>
      <w:pPr>
        <w:snapToGrid w:val="0"/>
        <w:rPr>
          <w:rFonts w:ascii="宋体" w:hAnsi="宋体"/>
          <w:color w:val="000000"/>
          <w:sz w:val="28"/>
          <w:szCs w:val="28"/>
        </w:rPr>
      </w:pPr>
    </w:p>
    <w:p>
      <w:pPr>
        <w:snapToGrid w:val="0"/>
        <w:rPr>
          <w:rFonts w:ascii="宋体" w:hAnsi="宋体"/>
          <w:color w:val="000000"/>
          <w:sz w:val="28"/>
          <w:szCs w:val="28"/>
        </w:rPr>
      </w:pPr>
    </w:p>
    <w:p>
      <w:pPr>
        <w:snapToGrid w:val="0"/>
        <w:rPr>
          <w:rFonts w:ascii="宋体" w:hAnsi="宋体"/>
          <w:color w:val="000000"/>
          <w:sz w:val="28"/>
          <w:szCs w:val="28"/>
        </w:rPr>
      </w:pPr>
    </w:p>
    <w:p>
      <w:pPr>
        <w:snapToGrid w:val="0"/>
        <w:rPr>
          <w:rFonts w:ascii="宋体" w:hAnsi="宋体"/>
          <w:color w:val="000000"/>
          <w:sz w:val="28"/>
          <w:szCs w:val="28"/>
        </w:rPr>
      </w:pPr>
    </w:p>
    <w:p>
      <w:pPr>
        <w:snapToGrid w:val="0"/>
        <w:rPr>
          <w:rFonts w:ascii="宋体" w:hAnsi="宋体"/>
          <w:color w:val="000000"/>
          <w:sz w:val="28"/>
          <w:szCs w:val="28"/>
        </w:rPr>
      </w:pPr>
    </w:p>
    <w:p>
      <w:pPr>
        <w:snapToGrid w:val="0"/>
        <w:rPr>
          <w:rFonts w:ascii="宋体" w:hAnsi="宋体"/>
          <w:color w:val="000000"/>
          <w:sz w:val="28"/>
          <w:szCs w:val="28"/>
        </w:rPr>
      </w:pPr>
    </w:p>
    <w:p>
      <w:pPr>
        <w:snapToGrid w:val="0"/>
        <w:rPr>
          <w:rFonts w:ascii="宋体" w:hAnsi="宋体"/>
          <w:color w:val="000000"/>
          <w:sz w:val="28"/>
          <w:szCs w:val="28"/>
        </w:rPr>
      </w:pPr>
    </w:p>
    <w:p>
      <w:pPr>
        <w:snapToGrid w:val="0"/>
        <w:rPr>
          <w:rFonts w:ascii="宋体" w:hAnsi="宋体"/>
          <w:color w:val="000000"/>
          <w:sz w:val="28"/>
          <w:szCs w:val="28"/>
        </w:rPr>
      </w:pPr>
    </w:p>
    <w:p>
      <w:pPr>
        <w:snapToGrid w:val="0"/>
        <w:rPr>
          <w:rFonts w:ascii="宋体" w:hAnsi="宋体"/>
          <w:color w:val="000000"/>
          <w:sz w:val="28"/>
          <w:szCs w:val="28"/>
        </w:rPr>
      </w:pPr>
    </w:p>
    <w:p>
      <w:pPr>
        <w:snapToGrid w:val="0"/>
        <w:rPr>
          <w:rFonts w:ascii="宋体" w:hAnsi="宋体"/>
          <w:color w:val="000000"/>
          <w:sz w:val="28"/>
          <w:szCs w:val="28"/>
        </w:rPr>
      </w:pPr>
    </w:p>
    <w:p>
      <w:pPr>
        <w:snapToGrid w:val="0"/>
        <w:rPr>
          <w:rFonts w:ascii="宋体" w:hAnsi="宋体"/>
          <w:color w:val="000000"/>
          <w:sz w:val="28"/>
          <w:szCs w:val="28"/>
        </w:rPr>
      </w:pPr>
    </w:p>
    <w:p>
      <w:pPr>
        <w:snapToGrid w:val="0"/>
        <w:rPr>
          <w:rFonts w:ascii="宋体" w:hAnsi="宋体"/>
          <w:color w:val="000000"/>
          <w:sz w:val="28"/>
          <w:szCs w:val="28"/>
        </w:rPr>
      </w:pPr>
    </w:p>
    <w:p>
      <w:pPr>
        <w:snapToGrid w:val="0"/>
        <w:rPr>
          <w:rFonts w:ascii="宋体" w:hAnsi="宋体"/>
          <w:color w:val="000000"/>
          <w:sz w:val="28"/>
          <w:szCs w:val="28"/>
        </w:rPr>
      </w:pPr>
    </w:p>
    <w:p>
      <w:pPr>
        <w:snapToGrid w:val="0"/>
        <w:rPr>
          <w:rFonts w:ascii="宋体" w:hAnsi="宋体"/>
          <w:color w:val="000000"/>
          <w:sz w:val="28"/>
          <w:szCs w:val="28"/>
        </w:rPr>
      </w:pPr>
    </w:p>
    <w:p>
      <w:pPr>
        <w:snapToGrid w:val="0"/>
        <w:rPr>
          <w:rFonts w:ascii="宋体" w:hAnsi="宋体"/>
          <w:color w:val="000000"/>
          <w:sz w:val="28"/>
          <w:szCs w:val="28"/>
        </w:rPr>
      </w:pPr>
    </w:p>
    <w:p>
      <w:pPr>
        <w:snapToGrid w:val="0"/>
        <w:rPr>
          <w:rFonts w:ascii="宋体" w:hAnsi="宋体"/>
          <w:color w:val="000000"/>
          <w:sz w:val="28"/>
          <w:szCs w:val="28"/>
        </w:rPr>
      </w:pPr>
    </w:p>
    <w:p>
      <w:pPr>
        <w:snapToGrid w:val="0"/>
        <w:rPr>
          <w:rFonts w:ascii="宋体" w:hAnsi="宋体"/>
          <w:color w:val="000000"/>
          <w:sz w:val="28"/>
          <w:szCs w:val="28"/>
        </w:rPr>
      </w:pPr>
    </w:p>
    <w:p>
      <w:pPr>
        <w:snapToGrid w:val="0"/>
        <w:rPr>
          <w:rFonts w:ascii="宋体" w:hAnsi="宋体"/>
          <w:color w:val="000000"/>
          <w:sz w:val="28"/>
          <w:szCs w:val="28"/>
        </w:rPr>
      </w:pPr>
    </w:p>
    <w:p>
      <w:pPr>
        <w:snapToGrid w:val="0"/>
        <w:rPr>
          <w:rFonts w:ascii="宋体" w:hAnsi="宋体"/>
          <w:color w:val="000000"/>
          <w:sz w:val="28"/>
          <w:szCs w:val="28"/>
        </w:rPr>
      </w:pPr>
    </w:p>
    <w:p>
      <w:pPr>
        <w:snapToGrid w:val="0"/>
        <w:rPr>
          <w:rFonts w:ascii="宋体" w:hAnsi="宋体"/>
          <w:color w:val="000000"/>
          <w:sz w:val="28"/>
          <w:szCs w:val="28"/>
        </w:rPr>
      </w:pPr>
    </w:p>
    <w:p>
      <w:pPr>
        <w:snapToGrid w:val="0"/>
        <w:rPr>
          <w:rFonts w:ascii="宋体" w:hAnsi="宋体"/>
          <w:color w:val="000000"/>
          <w:sz w:val="28"/>
          <w:szCs w:val="28"/>
        </w:rPr>
      </w:pPr>
    </w:p>
    <w:p>
      <w:pPr>
        <w:snapToGrid w:val="0"/>
        <w:rPr>
          <w:rFonts w:ascii="宋体" w:hAnsi="宋体"/>
          <w:color w:val="000000"/>
          <w:sz w:val="28"/>
          <w:szCs w:val="28"/>
        </w:rPr>
      </w:pPr>
    </w:p>
    <w:p>
      <w:pPr>
        <w:snapToGrid w:val="0"/>
        <w:rPr>
          <w:rFonts w:ascii="宋体" w:hAnsi="宋体"/>
          <w:color w:val="000000"/>
          <w:sz w:val="28"/>
          <w:szCs w:val="28"/>
        </w:rPr>
      </w:pPr>
    </w:p>
    <w:p>
      <w:pPr>
        <w:pStyle w:val="2"/>
        <w:rPr>
          <w:rFonts w:ascii="宋体" w:hAnsi="宋体"/>
        </w:rPr>
      </w:pPr>
    </w:p>
    <w:p>
      <w:pPr>
        <w:pStyle w:val="2"/>
        <w:rPr>
          <w:rFonts w:ascii="宋体" w:hAnsi="宋体"/>
        </w:rPr>
      </w:pPr>
    </w:p>
    <w:p>
      <w:pPr>
        <w:pStyle w:val="2"/>
        <w:rPr>
          <w:rFonts w:ascii="宋体" w:hAnsi="宋体"/>
        </w:rPr>
      </w:pPr>
    </w:p>
    <w:p>
      <w:pPr>
        <w:pStyle w:val="2"/>
        <w:rPr>
          <w:rFonts w:ascii="宋体" w:hAnsi="宋体"/>
        </w:rPr>
      </w:pPr>
    </w:p>
    <w:p>
      <w:pPr>
        <w:pStyle w:val="2"/>
        <w:rPr>
          <w:rFonts w:ascii="宋体" w:hAnsi="宋体"/>
        </w:rPr>
      </w:pPr>
    </w:p>
    <w:p>
      <w:pPr>
        <w:pStyle w:val="2"/>
        <w:rPr>
          <w:rFonts w:ascii="宋体" w:hAnsi="宋体"/>
        </w:rPr>
      </w:pPr>
    </w:p>
    <w:p>
      <w:pPr>
        <w:pStyle w:val="2"/>
        <w:rPr>
          <w:rFonts w:ascii="宋体" w:hAnsi="宋体"/>
        </w:rPr>
      </w:pPr>
    </w:p>
    <w:p>
      <w:pPr>
        <w:pStyle w:val="2"/>
        <w:rPr>
          <w:rFonts w:ascii="宋体" w:hAnsi="宋体"/>
        </w:rPr>
      </w:pPr>
    </w:p>
    <w:p>
      <w:pPr>
        <w:pStyle w:val="2"/>
        <w:rPr>
          <w:rFonts w:ascii="宋体" w:hAnsi="宋体"/>
        </w:rPr>
      </w:pPr>
    </w:p>
    <w:p>
      <w:pPr>
        <w:pStyle w:val="2"/>
        <w:rPr>
          <w:rFonts w:ascii="宋体" w:hAnsi="宋体"/>
        </w:rPr>
      </w:pPr>
    </w:p>
    <w:p>
      <w:pPr>
        <w:pStyle w:val="2"/>
        <w:rPr>
          <w:rFonts w:ascii="宋体" w:hAnsi="宋体"/>
        </w:rPr>
      </w:pPr>
    </w:p>
    <w:p>
      <w:pPr>
        <w:numPr>
          <w:ilvl w:val="3"/>
          <w:numId w:val="48"/>
        </w:numPr>
        <w:spacing w:line="360" w:lineRule="auto"/>
        <w:jc w:val="center"/>
        <w:rPr>
          <w:rFonts w:ascii="宋体" w:hAnsi="宋体"/>
          <w:b/>
          <w:bCs/>
          <w:sz w:val="32"/>
          <w:szCs w:val="32"/>
        </w:rPr>
      </w:pPr>
      <w:r>
        <w:rPr>
          <w:rFonts w:hint="eastAsia" w:ascii="宋体" w:hAnsi="宋体"/>
          <w:b/>
          <w:bCs/>
          <w:sz w:val="32"/>
          <w:szCs w:val="32"/>
        </w:rPr>
        <w:t>投标承诺函</w:t>
      </w:r>
    </w:p>
    <w:p>
      <w:pPr>
        <w:adjustRightInd w:val="0"/>
        <w:spacing w:line="330" w:lineRule="exact"/>
        <w:jc w:val="left"/>
        <w:textAlignment w:val="baseline"/>
        <w:rPr>
          <w:rFonts w:ascii="宋体" w:hAnsi="宋体"/>
        </w:rPr>
      </w:pPr>
      <w:r>
        <w:rPr>
          <w:rFonts w:hint="eastAsia" w:ascii="宋体" w:hAnsi="宋体"/>
        </w:rPr>
        <w:t>致（采购人及采购代理机构）：</w:t>
      </w:r>
    </w:p>
    <w:p>
      <w:pPr>
        <w:adjustRightInd w:val="0"/>
        <w:spacing w:line="440" w:lineRule="exact"/>
        <w:ind w:firstLine="480" w:firstLineChars="200"/>
        <w:jc w:val="left"/>
        <w:textAlignment w:val="baseline"/>
        <w:rPr>
          <w:rFonts w:ascii="宋体" w:hAnsi="宋体"/>
        </w:rPr>
      </w:pPr>
      <w:r>
        <w:rPr>
          <w:rFonts w:hint="eastAsia" w:ascii="宋体" w:hAnsi="宋体"/>
        </w:rPr>
        <w:t>我公司作为</w:t>
      </w:r>
      <w:r>
        <w:rPr>
          <w:rFonts w:hint="eastAsia" w:ascii="宋体" w:hAnsi="宋体"/>
          <w:u w:val="single"/>
          <w:lang w:val="en-US" w:eastAsia="zh-CN"/>
        </w:rPr>
        <w:t xml:space="preserve">              </w:t>
      </w:r>
      <w:r>
        <w:rPr>
          <w:rFonts w:hint="eastAsia" w:ascii="宋体" w:hAnsi="宋体"/>
        </w:rPr>
        <w:t>项目（交易编号：</w:t>
      </w:r>
      <w:r>
        <w:rPr>
          <w:rFonts w:hint="eastAsia" w:ascii="宋体" w:hAnsi="宋体"/>
          <w:u w:val="single"/>
          <w:lang w:val="en-US" w:eastAsia="zh-CN"/>
        </w:rPr>
        <w:t xml:space="preserve">       </w:t>
      </w:r>
      <w:r>
        <w:rPr>
          <w:rFonts w:hint="eastAsia" w:ascii="宋体" w:hAnsi="宋体"/>
        </w:rPr>
        <w:t>）的投标人，根据招标文件要求，现郑重承诺如下：</w:t>
      </w:r>
    </w:p>
    <w:p>
      <w:pPr>
        <w:numPr>
          <w:ilvl w:val="3"/>
          <w:numId w:val="49"/>
        </w:numPr>
        <w:adjustRightInd w:val="0"/>
        <w:spacing w:line="440" w:lineRule="exact"/>
        <w:ind w:firstLine="480" w:firstLineChars="200"/>
        <w:jc w:val="left"/>
        <w:textAlignment w:val="baseline"/>
        <w:rPr>
          <w:rFonts w:ascii="宋体" w:hAnsi="宋体"/>
        </w:rPr>
      </w:pPr>
      <w:r>
        <w:rPr>
          <w:rFonts w:hint="eastAsia" w:ascii="宋体" w:hAnsi="宋体"/>
        </w:rPr>
        <w:t>具备《中华人民共和国政府采购法》第二十二条第一款和本项目规定的条件。</w:t>
      </w:r>
    </w:p>
    <w:p>
      <w:pPr>
        <w:numPr>
          <w:ilvl w:val="3"/>
          <w:numId w:val="49"/>
        </w:numPr>
        <w:adjustRightInd w:val="0"/>
        <w:spacing w:line="440" w:lineRule="exact"/>
        <w:ind w:firstLine="480" w:firstLineChars="200"/>
        <w:jc w:val="left"/>
        <w:textAlignment w:val="baseline"/>
        <w:rPr>
          <w:rFonts w:ascii="宋体" w:hAnsi="宋体"/>
        </w:rPr>
      </w:pPr>
      <w:r>
        <w:rPr>
          <w:rFonts w:hint="eastAsia" w:ascii="宋体" w:hAnsi="宋体"/>
        </w:rPr>
        <w:t>我公司同意按招标文件中的规定，认定本项目投标有效期为日历天。</w:t>
      </w:r>
    </w:p>
    <w:p>
      <w:pPr>
        <w:numPr>
          <w:ilvl w:val="3"/>
          <w:numId w:val="49"/>
        </w:numPr>
        <w:adjustRightInd w:val="0"/>
        <w:spacing w:line="440" w:lineRule="exact"/>
        <w:ind w:firstLine="480" w:firstLineChars="200"/>
        <w:jc w:val="left"/>
        <w:textAlignment w:val="baseline"/>
        <w:rPr>
          <w:rFonts w:ascii="宋体" w:hAnsi="宋体"/>
        </w:rPr>
      </w:pPr>
      <w:r>
        <w:rPr>
          <w:rFonts w:hint="eastAsia" w:ascii="宋体" w:hAnsi="宋体"/>
        </w:rPr>
        <w:t>完全接受和满足本项目招标文件中的规定，如对招标文件有异议，已经在投标截止时间前依法进行维权，不存在对招标文件有异议的同时又参加投标以求侥幸中标或者为实现其他非法目的的行为。</w:t>
      </w:r>
    </w:p>
    <w:p>
      <w:pPr>
        <w:numPr>
          <w:ilvl w:val="3"/>
          <w:numId w:val="49"/>
        </w:numPr>
        <w:adjustRightInd w:val="0"/>
        <w:spacing w:line="440" w:lineRule="exact"/>
        <w:ind w:firstLine="480" w:firstLineChars="200"/>
        <w:jc w:val="left"/>
        <w:textAlignment w:val="baseline"/>
        <w:rPr>
          <w:rFonts w:ascii="宋体" w:hAnsi="宋体"/>
        </w:rPr>
      </w:pPr>
      <w:r>
        <w:rPr>
          <w:rFonts w:hint="eastAsia" w:ascii="宋体" w:hAnsi="宋体"/>
        </w:rPr>
        <w:t>参加本次招标采购活动，不存在与单位负责人为同一人或者存在直接控股、管理关系的其他供应商参与同一合同项下的政府采购活动的行为。    </w:t>
      </w:r>
    </w:p>
    <w:p>
      <w:pPr>
        <w:numPr>
          <w:ilvl w:val="3"/>
          <w:numId w:val="49"/>
        </w:numPr>
        <w:adjustRightInd w:val="0"/>
        <w:spacing w:line="440" w:lineRule="exact"/>
        <w:ind w:firstLine="480" w:firstLineChars="200"/>
        <w:jc w:val="left"/>
        <w:textAlignment w:val="baseline"/>
        <w:rPr>
          <w:rFonts w:ascii="宋体" w:hAnsi="宋体"/>
        </w:rPr>
      </w:pPr>
      <w:r>
        <w:rPr>
          <w:rFonts w:hint="eastAsia" w:ascii="宋体" w:hAnsi="宋体"/>
        </w:rPr>
        <w:t>参加本次招标采购活动，不存在为采购项目提供整体设计、规范编制或者项目管理、监理、检测等服务的行为。</w:t>
      </w:r>
    </w:p>
    <w:p>
      <w:pPr>
        <w:numPr>
          <w:ilvl w:val="3"/>
          <w:numId w:val="49"/>
        </w:numPr>
        <w:adjustRightInd w:val="0"/>
        <w:spacing w:line="440" w:lineRule="exact"/>
        <w:ind w:firstLine="480" w:firstLineChars="200"/>
        <w:jc w:val="left"/>
        <w:textAlignment w:val="baseline"/>
        <w:rPr>
          <w:rFonts w:ascii="宋体" w:hAnsi="宋体"/>
        </w:rPr>
      </w:pPr>
      <w:r>
        <w:rPr>
          <w:rFonts w:hint="eastAsia" w:ascii="宋体" w:hAnsi="宋体"/>
        </w:rPr>
        <w:t>参加本次招标采购活动，不存在和其他供应商在同一合同项下的采购项目中，同时委托同一个自然人、同一家庭的人员、同一单位的人员作为代理人的行为。</w:t>
      </w:r>
    </w:p>
    <w:p>
      <w:pPr>
        <w:numPr>
          <w:ilvl w:val="3"/>
          <w:numId w:val="49"/>
        </w:numPr>
        <w:adjustRightInd w:val="0"/>
        <w:spacing w:line="440" w:lineRule="exact"/>
        <w:ind w:firstLine="480" w:firstLineChars="200"/>
        <w:jc w:val="left"/>
        <w:textAlignment w:val="baseline"/>
        <w:rPr>
          <w:rFonts w:ascii="宋体" w:hAnsi="宋体"/>
        </w:rPr>
      </w:pPr>
      <w:r>
        <w:rPr>
          <w:rFonts w:hint="eastAsia" w:ascii="宋体" w:hAnsi="宋体"/>
        </w:rPr>
        <w:t>投标人和其法定代表人及其委托代理人没有行贿犯罪行为。</w:t>
      </w:r>
    </w:p>
    <w:p>
      <w:pPr>
        <w:numPr>
          <w:ilvl w:val="3"/>
          <w:numId w:val="49"/>
        </w:numPr>
        <w:adjustRightInd w:val="0"/>
        <w:spacing w:line="440" w:lineRule="exact"/>
        <w:ind w:firstLine="480" w:firstLineChars="200"/>
        <w:jc w:val="left"/>
        <w:textAlignment w:val="baseline"/>
        <w:rPr>
          <w:rFonts w:ascii="宋体" w:hAnsi="宋体"/>
        </w:rPr>
      </w:pPr>
      <w:r>
        <w:rPr>
          <w:rFonts w:hint="eastAsia" w:ascii="宋体" w:hAnsi="宋体"/>
        </w:rPr>
        <w:t>如本项目评标过程中需要提供样品，则我公司提供的样品即为中标后将要提供的中标产品，我公司对提供样品的性能和质量负责，因样品存在缺陷或者不符合招标文件要求导致未能中标的，我公司愿意承担一切相关责任。（如提供样品）</w:t>
      </w:r>
    </w:p>
    <w:p>
      <w:pPr>
        <w:pStyle w:val="31"/>
        <w:shd w:val="clear" w:color="auto" w:fill="FFFFFF"/>
        <w:spacing w:before="0" w:beforeAutospacing="0" w:after="0" w:afterAutospacing="0" w:line="330" w:lineRule="exact"/>
        <w:rPr>
          <w:spacing w:val="8"/>
          <w:sz w:val="25"/>
          <w:szCs w:val="25"/>
        </w:rPr>
      </w:pPr>
      <w:r>
        <w:rPr>
          <w:rFonts w:hint="eastAsia"/>
          <w:spacing w:val="8"/>
          <w:shd w:val="clear" w:color="auto" w:fill="FFFFFF"/>
        </w:rPr>
        <w:t>       </w:t>
      </w:r>
    </w:p>
    <w:p>
      <w:pPr>
        <w:adjustRightInd w:val="0"/>
        <w:spacing w:line="330" w:lineRule="exact"/>
        <w:ind w:firstLine="480" w:firstLineChars="200"/>
        <w:jc w:val="left"/>
        <w:textAlignment w:val="baseline"/>
        <w:rPr>
          <w:rFonts w:ascii="宋体" w:hAnsi="宋体"/>
        </w:rPr>
      </w:pPr>
      <w:r>
        <w:rPr>
          <w:rFonts w:hint="eastAsia" w:ascii="宋体" w:hAnsi="宋体"/>
        </w:rPr>
        <w:t>与本投标有关的一切往来通讯请寄</w:t>
      </w:r>
    </w:p>
    <w:p>
      <w:pPr>
        <w:adjustRightInd w:val="0"/>
        <w:spacing w:line="330" w:lineRule="exact"/>
        <w:ind w:firstLine="480" w:firstLineChars="200"/>
        <w:jc w:val="left"/>
        <w:textAlignment w:val="baseline"/>
        <w:rPr>
          <w:rFonts w:ascii="宋体" w:hAnsi="宋体"/>
        </w:rPr>
      </w:pPr>
      <w:r>
        <w:rPr>
          <w:rFonts w:hint="eastAsia" w:ascii="宋体" w:hAnsi="宋体"/>
        </w:rPr>
        <w:t xml:space="preserve">地址：                     电话： </w:t>
      </w:r>
    </w:p>
    <w:p>
      <w:pPr>
        <w:adjustRightInd w:val="0"/>
        <w:spacing w:line="330" w:lineRule="exact"/>
        <w:ind w:firstLine="480" w:firstLineChars="200"/>
        <w:jc w:val="left"/>
        <w:textAlignment w:val="baseline"/>
        <w:rPr>
          <w:rFonts w:ascii="宋体" w:hAnsi="宋体"/>
        </w:rPr>
      </w:pPr>
      <w:r>
        <w:rPr>
          <w:rFonts w:hint="eastAsia" w:ascii="宋体" w:hAnsi="宋体"/>
        </w:rPr>
        <w:t>电子邮箱：</w:t>
      </w:r>
    </w:p>
    <w:p>
      <w:pPr>
        <w:adjustRightInd w:val="0"/>
        <w:spacing w:line="330" w:lineRule="exact"/>
        <w:ind w:firstLine="2040" w:firstLineChars="850"/>
        <w:jc w:val="left"/>
        <w:textAlignment w:val="baseline"/>
        <w:rPr>
          <w:rFonts w:ascii="宋体" w:hAnsi="宋体"/>
        </w:rPr>
      </w:pPr>
    </w:p>
    <w:p>
      <w:pPr>
        <w:adjustRightInd w:val="0"/>
        <w:spacing w:line="330" w:lineRule="exact"/>
        <w:ind w:firstLine="2040" w:firstLineChars="850"/>
        <w:jc w:val="left"/>
        <w:textAlignment w:val="baseline"/>
        <w:rPr>
          <w:rFonts w:ascii="宋体" w:hAnsi="宋体"/>
        </w:rPr>
      </w:pPr>
      <w:r>
        <w:rPr>
          <w:rFonts w:hint="eastAsia" w:ascii="宋体" w:hAnsi="宋体"/>
        </w:rPr>
        <w:t xml:space="preserve">                     投标人名称（全称并加盖公章）：</w:t>
      </w:r>
    </w:p>
    <w:p>
      <w:pPr>
        <w:adjustRightInd w:val="0"/>
        <w:spacing w:line="330" w:lineRule="exact"/>
        <w:ind w:firstLine="2040" w:firstLineChars="850"/>
        <w:jc w:val="left"/>
        <w:textAlignment w:val="baseline"/>
        <w:rPr>
          <w:rFonts w:ascii="宋体" w:hAnsi="宋体"/>
        </w:rPr>
      </w:pPr>
    </w:p>
    <w:p>
      <w:pPr>
        <w:adjustRightInd w:val="0"/>
        <w:spacing w:line="330" w:lineRule="exact"/>
        <w:ind w:firstLine="2040" w:firstLineChars="850"/>
        <w:jc w:val="left"/>
        <w:textAlignment w:val="baseline"/>
        <w:rPr>
          <w:rFonts w:ascii="宋体" w:hAnsi="宋体"/>
        </w:rPr>
      </w:pPr>
      <w:r>
        <w:rPr>
          <w:rFonts w:hint="eastAsia" w:ascii="宋体" w:hAnsi="宋体"/>
        </w:rPr>
        <w:t xml:space="preserve">                     法定代表人或其委托代理人（签字）：</w:t>
      </w:r>
    </w:p>
    <w:p>
      <w:pPr>
        <w:adjustRightInd w:val="0"/>
        <w:spacing w:line="330" w:lineRule="exact"/>
        <w:ind w:firstLine="2040" w:firstLineChars="850"/>
        <w:jc w:val="left"/>
        <w:textAlignment w:val="baseline"/>
        <w:rPr>
          <w:rFonts w:ascii="宋体" w:hAnsi="宋体"/>
        </w:rPr>
      </w:pPr>
    </w:p>
    <w:p>
      <w:pPr>
        <w:adjustRightInd w:val="0"/>
        <w:spacing w:line="330" w:lineRule="exact"/>
        <w:ind w:firstLine="2040" w:firstLineChars="850"/>
        <w:jc w:val="left"/>
        <w:textAlignment w:val="baseline"/>
        <w:rPr>
          <w:rFonts w:ascii="宋体" w:hAnsi="宋体"/>
        </w:rPr>
      </w:pPr>
      <w:r>
        <w:rPr>
          <w:rFonts w:hint="eastAsia" w:ascii="宋体" w:hAnsi="宋体"/>
        </w:rPr>
        <w:t xml:space="preserve">                     日     期：     年      月     日</w:t>
      </w:r>
    </w:p>
    <w:p>
      <w:pPr>
        <w:adjustRightInd w:val="0"/>
        <w:spacing w:line="330" w:lineRule="exact"/>
        <w:ind w:firstLine="2040" w:firstLineChars="850"/>
        <w:jc w:val="left"/>
        <w:textAlignment w:val="baseline"/>
        <w:rPr>
          <w:rFonts w:ascii="宋体" w:hAnsi="宋体"/>
          <w:szCs w:val="21"/>
        </w:rPr>
      </w:pPr>
    </w:p>
    <w:p>
      <w:pPr>
        <w:adjustRightInd w:val="0"/>
        <w:spacing w:line="330" w:lineRule="exact"/>
        <w:ind w:firstLine="2040" w:firstLineChars="850"/>
        <w:jc w:val="left"/>
        <w:textAlignment w:val="baseline"/>
        <w:rPr>
          <w:rFonts w:ascii="宋体" w:hAnsi="宋体"/>
          <w:szCs w:val="21"/>
        </w:rPr>
      </w:pPr>
    </w:p>
    <w:p>
      <w:pPr>
        <w:adjustRightInd w:val="0"/>
        <w:spacing w:line="330" w:lineRule="exact"/>
        <w:ind w:firstLine="2040" w:firstLineChars="850"/>
        <w:jc w:val="left"/>
        <w:textAlignment w:val="baseline"/>
        <w:rPr>
          <w:rFonts w:ascii="宋体" w:hAnsi="宋体"/>
          <w:szCs w:val="21"/>
        </w:rPr>
      </w:pPr>
    </w:p>
    <w:p>
      <w:pPr>
        <w:adjustRightInd w:val="0"/>
        <w:spacing w:line="330" w:lineRule="exact"/>
        <w:ind w:firstLine="2040" w:firstLineChars="850"/>
        <w:jc w:val="left"/>
        <w:textAlignment w:val="baseline"/>
        <w:rPr>
          <w:rFonts w:ascii="宋体" w:hAnsi="宋体"/>
          <w:szCs w:val="21"/>
        </w:rPr>
      </w:pPr>
    </w:p>
    <w:p>
      <w:pPr>
        <w:pStyle w:val="80"/>
        <w:rPr>
          <w:rStyle w:val="66"/>
        </w:rPr>
      </w:pPr>
    </w:p>
    <w:p>
      <w:pPr>
        <w:adjustRightInd w:val="0"/>
        <w:spacing w:line="330" w:lineRule="exact"/>
        <w:ind w:firstLine="2040" w:firstLineChars="850"/>
        <w:jc w:val="left"/>
        <w:textAlignment w:val="baseline"/>
        <w:rPr>
          <w:rFonts w:ascii="宋体" w:hAnsi="宋体"/>
          <w:szCs w:val="21"/>
        </w:rPr>
      </w:pPr>
    </w:p>
    <w:p>
      <w:pPr>
        <w:numPr>
          <w:ilvl w:val="3"/>
          <w:numId w:val="48"/>
        </w:numPr>
        <w:spacing w:line="360" w:lineRule="auto"/>
        <w:jc w:val="center"/>
        <w:rPr>
          <w:rFonts w:ascii="宋体" w:hAnsi="宋体"/>
          <w:b/>
          <w:bCs/>
          <w:sz w:val="32"/>
          <w:szCs w:val="32"/>
        </w:rPr>
      </w:pPr>
      <w:r>
        <w:rPr>
          <w:rFonts w:hint="eastAsia" w:ascii="宋体" w:hAnsi="宋体"/>
          <w:b/>
          <w:bCs/>
          <w:sz w:val="32"/>
          <w:szCs w:val="32"/>
        </w:rPr>
        <w:t>承诺书</w:t>
      </w:r>
    </w:p>
    <w:p>
      <w:pPr>
        <w:adjustRightInd w:val="0"/>
        <w:spacing w:line="330" w:lineRule="exact"/>
        <w:jc w:val="left"/>
        <w:textAlignment w:val="baseline"/>
        <w:rPr>
          <w:rFonts w:ascii="宋体" w:hAnsi="宋体"/>
        </w:rPr>
      </w:pPr>
      <w:r>
        <w:rPr>
          <w:rFonts w:hint="eastAsia" w:ascii="宋体" w:hAnsi="宋体"/>
        </w:rPr>
        <w:t>致（采购人及采购代理机构）：</w:t>
      </w:r>
    </w:p>
    <w:p>
      <w:pPr>
        <w:adjustRightInd w:val="0"/>
        <w:spacing w:line="330" w:lineRule="exact"/>
        <w:ind w:firstLine="480" w:firstLineChars="200"/>
        <w:jc w:val="left"/>
        <w:textAlignment w:val="baseline"/>
        <w:rPr>
          <w:rFonts w:ascii="宋体" w:hAnsi="宋体"/>
        </w:rPr>
      </w:pPr>
      <w:r>
        <w:rPr>
          <w:rFonts w:hint="eastAsia" w:ascii="宋体" w:hAnsi="宋体"/>
        </w:rPr>
        <w:t>我公司作为</w:t>
      </w:r>
      <w:r>
        <w:rPr>
          <w:rFonts w:hint="eastAsia" w:ascii="宋体" w:hAnsi="宋体"/>
          <w:u w:val="single"/>
          <w:lang w:val="en-US" w:eastAsia="zh-CN"/>
        </w:rPr>
        <w:t xml:space="preserve">           </w:t>
      </w:r>
      <w:r>
        <w:rPr>
          <w:rFonts w:hint="eastAsia" w:ascii="宋体" w:hAnsi="宋体"/>
        </w:rPr>
        <w:t>项目（交易编号：</w:t>
      </w:r>
      <w:r>
        <w:rPr>
          <w:rFonts w:hint="eastAsia" w:ascii="宋体" w:hAnsi="宋体"/>
          <w:u w:val="single"/>
          <w:lang w:val="en-US" w:eastAsia="zh-CN"/>
        </w:rPr>
        <w:t xml:space="preserve">           </w:t>
      </w:r>
      <w:r>
        <w:rPr>
          <w:rFonts w:hint="eastAsia" w:ascii="宋体" w:hAnsi="宋体"/>
        </w:rPr>
        <w:t>）的投标人，现郑重承诺如下：</w:t>
      </w:r>
    </w:p>
    <w:p>
      <w:pPr>
        <w:spacing w:line="440" w:lineRule="exact"/>
        <w:rPr>
          <w:rFonts w:ascii="宋体" w:hAnsi="宋体"/>
          <w:szCs w:val="21"/>
        </w:rPr>
      </w:pPr>
      <w:r>
        <w:rPr>
          <w:rFonts w:hint="eastAsia" w:ascii="宋体" w:hAnsi="宋体"/>
          <w:szCs w:val="21"/>
        </w:rPr>
        <w:t xml:space="preserve">    在本次招标投标活动中，我公司存在下列情形之一的，自愿向采购人缴纳应缴的投标保证金人</w:t>
      </w:r>
      <w:r>
        <w:rPr>
          <w:rFonts w:hint="eastAsia" w:ascii="宋体" w:hAnsi="宋体"/>
          <w:color w:val="FF0000"/>
          <w:szCs w:val="21"/>
        </w:rPr>
        <w:t>民币64000</w:t>
      </w:r>
      <w:r>
        <w:rPr>
          <w:rFonts w:hint="eastAsia" w:ascii="宋体" w:hAnsi="宋体"/>
          <w:color w:val="FF0000"/>
          <w:kern w:val="0"/>
          <w:szCs w:val="21"/>
        </w:rPr>
        <w:t>元</w:t>
      </w:r>
      <w:r>
        <w:rPr>
          <w:rFonts w:hint="eastAsia" w:ascii="宋体" w:hAnsi="宋体"/>
          <w:color w:val="FF0000"/>
          <w:szCs w:val="21"/>
        </w:rPr>
        <w:t>，由</w:t>
      </w:r>
      <w:r>
        <w:rPr>
          <w:rFonts w:hint="eastAsia" w:ascii="宋体" w:hAnsi="宋体"/>
          <w:szCs w:val="21"/>
        </w:rPr>
        <w:t>采购人没收，因此产生的一切后果和责任由我公司承担，我公司放弃对此提出的任何异议和权利：</w:t>
      </w:r>
    </w:p>
    <w:p>
      <w:pPr>
        <w:spacing w:line="440" w:lineRule="exact"/>
        <w:rPr>
          <w:rFonts w:ascii="宋体" w:hAnsi="宋体"/>
          <w:szCs w:val="21"/>
        </w:rPr>
      </w:pPr>
      <w:r>
        <w:rPr>
          <w:rFonts w:hint="eastAsia" w:ascii="宋体" w:hAnsi="宋体"/>
          <w:szCs w:val="21"/>
        </w:rPr>
        <w:t xml:space="preserve">    （1）在投标截止时间后或投标有效期内撤回投标文件的；</w:t>
      </w:r>
    </w:p>
    <w:p>
      <w:pPr>
        <w:spacing w:line="440" w:lineRule="exact"/>
        <w:rPr>
          <w:rFonts w:ascii="宋体" w:hAnsi="宋体"/>
          <w:szCs w:val="21"/>
        </w:rPr>
      </w:pPr>
      <w:r>
        <w:rPr>
          <w:rFonts w:hint="eastAsia" w:ascii="宋体" w:hAnsi="宋体"/>
          <w:szCs w:val="21"/>
        </w:rPr>
        <w:t xml:space="preserve">    （2）在投标文件中提供虚假材料的；</w:t>
      </w:r>
    </w:p>
    <w:p>
      <w:pPr>
        <w:spacing w:line="440" w:lineRule="exact"/>
        <w:rPr>
          <w:rFonts w:ascii="宋体" w:hAnsi="宋体"/>
          <w:szCs w:val="21"/>
        </w:rPr>
      </w:pPr>
      <w:r>
        <w:rPr>
          <w:rFonts w:hint="eastAsia" w:ascii="宋体" w:hAnsi="宋体"/>
          <w:szCs w:val="21"/>
        </w:rPr>
        <w:t xml:space="preserve">    （3）如我公司中标，除因不可抗力或招标文件认可的情形以外，我公司不与采购人签订合同的；</w:t>
      </w:r>
    </w:p>
    <w:p>
      <w:pPr>
        <w:rPr>
          <w:rFonts w:ascii="宋体" w:hAnsi="宋体"/>
          <w:szCs w:val="21"/>
        </w:rPr>
      </w:pPr>
      <w:r>
        <w:rPr>
          <w:rFonts w:hint="eastAsia" w:ascii="宋体" w:hAnsi="宋体"/>
          <w:szCs w:val="21"/>
        </w:rPr>
        <w:t xml:space="preserve">    （4）我公司与采购人、其他投标人或者采购代理机构恶意串通的。</w:t>
      </w:r>
    </w:p>
    <w:p>
      <w:pPr>
        <w:rPr>
          <w:rFonts w:ascii="宋体" w:hAnsi="宋体"/>
          <w:szCs w:val="21"/>
        </w:rPr>
      </w:pPr>
    </w:p>
    <w:p>
      <w:pPr>
        <w:rPr>
          <w:rFonts w:ascii="宋体" w:hAnsi="宋体"/>
          <w:szCs w:val="21"/>
        </w:rPr>
      </w:pPr>
      <w:r>
        <w:rPr>
          <w:rFonts w:hint="eastAsia" w:ascii="宋体" w:hAnsi="宋体"/>
          <w:szCs w:val="21"/>
        </w:rPr>
        <w:t>特此承诺</w:t>
      </w:r>
    </w:p>
    <w:p>
      <w:pPr>
        <w:rPr>
          <w:rFonts w:ascii="宋体" w:hAnsi="宋体"/>
          <w:szCs w:val="21"/>
        </w:rPr>
      </w:pPr>
    </w:p>
    <w:p>
      <w:pPr>
        <w:rPr>
          <w:rFonts w:ascii="宋体" w:hAnsi="宋体"/>
          <w:szCs w:val="21"/>
        </w:rPr>
      </w:pPr>
    </w:p>
    <w:p>
      <w:pPr>
        <w:adjustRightInd w:val="0"/>
        <w:spacing w:line="330" w:lineRule="exact"/>
        <w:ind w:firstLine="2040" w:firstLineChars="850"/>
        <w:jc w:val="left"/>
        <w:textAlignment w:val="baseline"/>
        <w:rPr>
          <w:rFonts w:ascii="宋体" w:hAnsi="宋体"/>
          <w:szCs w:val="21"/>
        </w:rPr>
      </w:pPr>
      <w:r>
        <w:rPr>
          <w:rFonts w:hint="eastAsia" w:ascii="宋体" w:hAnsi="宋体"/>
          <w:szCs w:val="21"/>
        </w:rPr>
        <w:t xml:space="preserve">                  投标人名称（全称并加盖公章）：</w:t>
      </w:r>
    </w:p>
    <w:p>
      <w:pPr>
        <w:adjustRightInd w:val="0"/>
        <w:spacing w:line="330" w:lineRule="exact"/>
        <w:ind w:firstLine="2040" w:firstLineChars="850"/>
        <w:jc w:val="left"/>
        <w:textAlignment w:val="baseline"/>
        <w:rPr>
          <w:rFonts w:ascii="宋体" w:hAnsi="宋体"/>
          <w:szCs w:val="21"/>
        </w:rPr>
      </w:pPr>
    </w:p>
    <w:p>
      <w:pPr>
        <w:adjustRightInd w:val="0"/>
        <w:spacing w:line="330" w:lineRule="exact"/>
        <w:ind w:firstLine="2040" w:firstLineChars="850"/>
        <w:jc w:val="left"/>
        <w:textAlignment w:val="baseline"/>
        <w:rPr>
          <w:rFonts w:ascii="宋体" w:hAnsi="宋体"/>
          <w:szCs w:val="21"/>
        </w:rPr>
      </w:pPr>
      <w:r>
        <w:rPr>
          <w:rFonts w:hint="eastAsia" w:ascii="宋体" w:hAnsi="宋体"/>
          <w:szCs w:val="21"/>
        </w:rPr>
        <w:t xml:space="preserve">                  法定代表人或其委托代理人（签字）：</w:t>
      </w:r>
    </w:p>
    <w:p>
      <w:pPr>
        <w:adjustRightInd w:val="0"/>
        <w:spacing w:line="330" w:lineRule="exact"/>
        <w:ind w:firstLine="2040" w:firstLineChars="850"/>
        <w:jc w:val="left"/>
        <w:textAlignment w:val="baseline"/>
        <w:rPr>
          <w:rFonts w:ascii="宋体" w:hAnsi="宋体"/>
          <w:szCs w:val="21"/>
        </w:rPr>
      </w:pPr>
    </w:p>
    <w:p>
      <w:pPr>
        <w:adjustRightInd w:val="0"/>
        <w:spacing w:line="330" w:lineRule="exact"/>
        <w:ind w:firstLine="2040" w:firstLineChars="850"/>
        <w:jc w:val="left"/>
        <w:textAlignment w:val="baseline"/>
        <w:rPr>
          <w:rFonts w:ascii="宋体" w:hAnsi="宋体"/>
          <w:szCs w:val="21"/>
        </w:rPr>
      </w:pPr>
      <w:r>
        <w:rPr>
          <w:rFonts w:hint="eastAsia" w:ascii="宋体" w:hAnsi="宋体"/>
          <w:szCs w:val="21"/>
        </w:rPr>
        <w:t xml:space="preserve">                  日     期：年月日</w:t>
      </w:r>
    </w:p>
    <w:p>
      <w:pPr>
        <w:adjustRightInd w:val="0"/>
        <w:spacing w:line="330" w:lineRule="exact"/>
        <w:ind w:firstLine="2040" w:firstLineChars="850"/>
        <w:jc w:val="left"/>
        <w:textAlignment w:val="baseline"/>
        <w:rPr>
          <w:rFonts w:ascii="宋体" w:hAnsi="宋体"/>
          <w:szCs w:val="21"/>
        </w:rPr>
      </w:pPr>
    </w:p>
    <w:p>
      <w:pPr>
        <w:adjustRightInd w:val="0"/>
        <w:spacing w:line="330" w:lineRule="exact"/>
        <w:ind w:firstLine="2040" w:firstLineChars="850"/>
        <w:jc w:val="left"/>
        <w:textAlignment w:val="baseline"/>
        <w:rPr>
          <w:rFonts w:ascii="宋体" w:hAnsi="宋体"/>
          <w:szCs w:val="21"/>
        </w:rPr>
      </w:pPr>
    </w:p>
    <w:p>
      <w:pPr>
        <w:adjustRightInd w:val="0"/>
        <w:spacing w:line="330" w:lineRule="exact"/>
        <w:ind w:firstLine="2040" w:firstLineChars="850"/>
        <w:jc w:val="left"/>
        <w:textAlignment w:val="baseline"/>
        <w:rPr>
          <w:rFonts w:ascii="宋体" w:hAnsi="宋体"/>
          <w:szCs w:val="21"/>
        </w:rPr>
      </w:pPr>
    </w:p>
    <w:p>
      <w:pPr>
        <w:adjustRightInd w:val="0"/>
        <w:spacing w:line="330" w:lineRule="exact"/>
        <w:ind w:firstLine="2040" w:firstLineChars="850"/>
        <w:jc w:val="left"/>
        <w:textAlignment w:val="baseline"/>
        <w:rPr>
          <w:rFonts w:ascii="宋体" w:hAnsi="宋体"/>
          <w:szCs w:val="21"/>
        </w:rPr>
      </w:pPr>
    </w:p>
    <w:p>
      <w:pPr>
        <w:adjustRightInd w:val="0"/>
        <w:spacing w:line="330" w:lineRule="exact"/>
        <w:ind w:firstLine="2040" w:firstLineChars="850"/>
        <w:jc w:val="left"/>
        <w:textAlignment w:val="baseline"/>
        <w:rPr>
          <w:rFonts w:ascii="宋体" w:hAnsi="宋体"/>
          <w:szCs w:val="21"/>
        </w:rPr>
      </w:pPr>
    </w:p>
    <w:p>
      <w:pPr>
        <w:adjustRightInd w:val="0"/>
        <w:spacing w:line="330" w:lineRule="exact"/>
        <w:ind w:firstLine="2040" w:firstLineChars="850"/>
        <w:jc w:val="left"/>
        <w:textAlignment w:val="baseline"/>
        <w:rPr>
          <w:rFonts w:ascii="宋体" w:hAnsi="宋体"/>
          <w:szCs w:val="21"/>
        </w:rPr>
      </w:pPr>
    </w:p>
    <w:p>
      <w:pPr>
        <w:adjustRightInd w:val="0"/>
        <w:spacing w:line="330" w:lineRule="exact"/>
        <w:ind w:firstLine="2040" w:firstLineChars="850"/>
        <w:jc w:val="left"/>
        <w:textAlignment w:val="baseline"/>
        <w:rPr>
          <w:rFonts w:ascii="宋体" w:hAnsi="宋体"/>
          <w:szCs w:val="21"/>
        </w:rPr>
      </w:pPr>
    </w:p>
    <w:p>
      <w:pPr>
        <w:adjustRightInd w:val="0"/>
        <w:spacing w:line="330" w:lineRule="exact"/>
        <w:ind w:firstLine="2040" w:firstLineChars="850"/>
        <w:jc w:val="left"/>
        <w:textAlignment w:val="baseline"/>
        <w:rPr>
          <w:rFonts w:ascii="宋体" w:hAnsi="宋体"/>
          <w:szCs w:val="21"/>
        </w:rPr>
      </w:pPr>
    </w:p>
    <w:p>
      <w:pPr>
        <w:adjustRightInd w:val="0"/>
        <w:spacing w:line="330" w:lineRule="exact"/>
        <w:ind w:firstLine="2040" w:firstLineChars="850"/>
        <w:jc w:val="left"/>
        <w:textAlignment w:val="baseline"/>
        <w:rPr>
          <w:rFonts w:ascii="宋体" w:hAnsi="宋体"/>
          <w:szCs w:val="21"/>
        </w:rPr>
      </w:pPr>
    </w:p>
    <w:p>
      <w:pPr>
        <w:adjustRightInd w:val="0"/>
        <w:spacing w:line="330" w:lineRule="exact"/>
        <w:ind w:firstLine="2040" w:firstLineChars="850"/>
        <w:jc w:val="left"/>
        <w:textAlignment w:val="baseline"/>
        <w:rPr>
          <w:rFonts w:ascii="宋体" w:hAnsi="宋体"/>
          <w:szCs w:val="21"/>
        </w:rPr>
      </w:pPr>
    </w:p>
    <w:p>
      <w:pPr>
        <w:adjustRightInd w:val="0"/>
        <w:spacing w:line="330" w:lineRule="exact"/>
        <w:ind w:firstLine="2040" w:firstLineChars="850"/>
        <w:jc w:val="left"/>
        <w:textAlignment w:val="baseline"/>
        <w:rPr>
          <w:rFonts w:ascii="宋体" w:hAnsi="宋体"/>
          <w:szCs w:val="21"/>
        </w:rPr>
      </w:pPr>
    </w:p>
    <w:p>
      <w:pPr>
        <w:adjustRightInd w:val="0"/>
        <w:spacing w:line="330" w:lineRule="exact"/>
        <w:ind w:firstLine="2040" w:firstLineChars="850"/>
        <w:jc w:val="left"/>
        <w:textAlignment w:val="baseline"/>
        <w:rPr>
          <w:rFonts w:ascii="宋体" w:hAnsi="宋体"/>
          <w:szCs w:val="21"/>
        </w:rPr>
      </w:pPr>
    </w:p>
    <w:p>
      <w:pPr>
        <w:adjustRightInd w:val="0"/>
        <w:spacing w:line="330" w:lineRule="exact"/>
        <w:ind w:firstLine="2040" w:firstLineChars="850"/>
        <w:jc w:val="left"/>
        <w:textAlignment w:val="baseline"/>
        <w:rPr>
          <w:rFonts w:ascii="宋体" w:hAnsi="宋体"/>
          <w:szCs w:val="21"/>
        </w:rPr>
      </w:pPr>
    </w:p>
    <w:p>
      <w:pPr>
        <w:adjustRightInd w:val="0"/>
        <w:spacing w:line="330" w:lineRule="exact"/>
        <w:ind w:firstLine="2040" w:firstLineChars="850"/>
        <w:jc w:val="left"/>
        <w:textAlignment w:val="baseline"/>
        <w:rPr>
          <w:rFonts w:ascii="宋体" w:hAnsi="宋体"/>
          <w:szCs w:val="21"/>
        </w:rPr>
      </w:pPr>
    </w:p>
    <w:p>
      <w:pPr>
        <w:adjustRightInd w:val="0"/>
        <w:spacing w:line="330" w:lineRule="exact"/>
        <w:ind w:firstLine="2040" w:firstLineChars="850"/>
        <w:jc w:val="left"/>
        <w:textAlignment w:val="baseline"/>
        <w:rPr>
          <w:rFonts w:ascii="宋体" w:hAnsi="宋体"/>
          <w:szCs w:val="21"/>
        </w:rPr>
      </w:pPr>
    </w:p>
    <w:p>
      <w:pPr>
        <w:pStyle w:val="26"/>
        <w:ind w:firstLine="0" w:firstLineChars="0"/>
      </w:pPr>
    </w:p>
    <w:p>
      <w:pPr>
        <w:adjustRightInd w:val="0"/>
        <w:spacing w:line="330" w:lineRule="exact"/>
        <w:ind w:firstLine="2040" w:firstLineChars="850"/>
        <w:jc w:val="left"/>
        <w:textAlignment w:val="baseline"/>
        <w:rPr>
          <w:rFonts w:ascii="宋体" w:hAnsi="宋体"/>
          <w:szCs w:val="21"/>
        </w:rPr>
      </w:pPr>
    </w:p>
    <w:p>
      <w:pPr>
        <w:numPr>
          <w:ilvl w:val="3"/>
          <w:numId w:val="48"/>
        </w:numPr>
        <w:spacing w:line="360" w:lineRule="auto"/>
        <w:jc w:val="center"/>
        <w:rPr>
          <w:rFonts w:ascii="宋体" w:hAnsi="宋体"/>
          <w:b/>
          <w:bCs/>
          <w:sz w:val="32"/>
          <w:szCs w:val="32"/>
        </w:rPr>
      </w:pPr>
      <w:r>
        <w:rPr>
          <w:rFonts w:hint="eastAsia" w:ascii="宋体" w:hAnsi="宋体"/>
          <w:b/>
          <w:bCs/>
          <w:sz w:val="32"/>
          <w:szCs w:val="32"/>
        </w:rPr>
        <w:t>招标代理服务费承诺函</w:t>
      </w:r>
    </w:p>
    <w:p>
      <w:pPr>
        <w:widowControl/>
        <w:shd w:val="clear" w:color="auto" w:fill="FFFFFF"/>
        <w:rPr>
          <w:rFonts w:ascii="宋体" w:hAnsi="宋体"/>
          <w:color w:val="333333"/>
          <w:spacing w:val="8"/>
          <w:kern w:val="0"/>
          <w:sz w:val="25"/>
          <w:szCs w:val="25"/>
        </w:rPr>
      </w:pPr>
    </w:p>
    <w:p>
      <w:pPr>
        <w:widowControl/>
        <w:shd w:val="clear" w:color="auto" w:fill="FFFFFF"/>
        <w:rPr>
          <w:rFonts w:ascii="宋体" w:hAnsi="宋体"/>
          <w:color w:val="333333"/>
          <w:spacing w:val="8"/>
          <w:kern w:val="0"/>
          <w:sz w:val="28"/>
          <w:szCs w:val="28"/>
        </w:rPr>
      </w:pPr>
      <w:r>
        <w:rPr>
          <w:rFonts w:hint="eastAsia" w:ascii="宋体" w:hAnsi="宋体"/>
          <w:color w:val="333333"/>
          <w:spacing w:val="8"/>
          <w:kern w:val="0"/>
          <w:sz w:val="28"/>
          <w:szCs w:val="28"/>
          <w:shd w:val="clear" w:color="auto" w:fill="FFFFFF"/>
        </w:rPr>
        <w:t>致（采购人及采购代理机构） ：</w:t>
      </w:r>
    </w:p>
    <w:p>
      <w:pPr>
        <w:widowControl/>
        <w:shd w:val="clear" w:color="auto" w:fill="FFFFFF"/>
        <w:ind w:firstLine="480"/>
        <w:rPr>
          <w:rFonts w:ascii="宋体" w:hAnsi="宋体"/>
          <w:color w:val="333333"/>
          <w:spacing w:val="8"/>
          <w:kern w:val="0"/>
          <w:sz w:val="28"/>
          <w:szCs w:val="28"/>
        </w:rPr>
      </w:pPr>
      <w:r>
        <w:rPr>
          <w:rFonts w:hint="eastAsia" w:ascii="宋体" w:hAnsi="宋体"/>
          <w:color w:val="333333"/>
          <w:spacing w:val="8"/>
          <w:kern w:val="0"/>
          <w:sz w:val="28"/>
          <w:szCs w:val="28"/>
          <w:shd w:val="clear" w:color="auto" w:fill="FFFFFF"/>
        </w:rPr>
        <w:t>我们在贵公司组织的（项目名称：</w:t>
      </w:r>
      <w:r>
        <w:rPr>
          <w:rFonts w:hint="eastAsia" w:ascii="宋体" w:hAnsi="宋体"/>
          <w:color w:val="333333"/>
          <w:spacing w:val="8"/>
          <w:kern w:val="0"/>
          <w:sz w:val="28"/>
          <w:szCs w:val="28"/>
          <w:u w:val="single"/>
          <w:shd w:val="clear" w:color="auto" w:fill="FFFFFF"/>
          <w:lang w:val="en-US" w:eastAsia="zh-CN"/>
        </w:rPr>
        <w:t xml:space="preserve">         </w:t>
      </w:r>
      <w:r>
        <w:rPr>
          <w:rFonts w:hint="eastAsia" w:ascii="宋体" w:hAnsi="宋体"/>
          <w:color w:val="333333"/>
          <w:spacing w:val="8"/>
          <w:kern w:val="0"/>
          <w:sz w:val="28"/>
          <w:szCs w:val="28"/>
          <w:shd w:val="clear" w:color="auto" w:fill="FFFFFF"/>
        </w:rPr>
        <w:t>，交易编号：</w:t>
      </w:r>
      <w:r>
        <w:rPr>
          <w:rFonts w:hint="eastAsia" w:ascii="宋体" w:hAnsi="宋体"/>
          <w:color w:val="333333"/>
          <w:spacing w:val="8"/>
          <w:kern w:val="0"/>
          <w:sz w:val="28"/>
          <w:szCs w:val="28"/>
          <w:u w:val="single"/>
          <w:shd w:val="clear" w:color="auto" w:fill="FFFFFF"/>
          <w:lang w:val="en-US" w:eastAsia="zh-CN"/>
        </w:rPr>
        <w:t xml:space="preserve">      </w:t>
      </w:r>
      <w:r>
        <w:rPr>
          <w:rFonts w:hint="eastAsia" w:ascii="宋体" w:hAnsi="宋体"/>
          <w:color w:val="333333"/>
          <w:spacing w:val="8"/>
          <w:kern w:val="0"/>
          <w:sz w:val="28"/>
          <w:szCs w:val="28"/>
          <w:shd w:val="clear" w:color="auto" w:fill="FFFFFF"/>
        </w:rPr>
        <w:t>）采购中若获中标，我们保证在中标结果公告发布后5个工作日内，按招标文件的规定，以现金形式一次性支付代理服务费用。否则，由此产生的一切法律后果和责任由我公司承担。我公司声明放弃对此提出任何异议和追索的权利。</w:t>
      </w:r>
    </w:p>
    <w:p>
      <w:pPr>
        <w:widowControl/>
        <w:shd w:val="clear" w:color="auto" w:fill="FFFFFF"/>
        <w:rPr>
          <w:rFonts w:ascii="宋体" w:hAnsi="宋体"/>
          <w:color w:val="333333"/>
          <w:spacing w:val="8"/>
          <w:kern w:val="0"/>
          <w:sz w:val="28"/>
          <w:szCs w:val="28"/>
        </w:rPr>
      </w:pPr>
      <w:r>
        <w:rPr>
          <w:rFonts w:hint="eastAsia" w:ascii="宋体" w:hAnsi="宋体"/>
          <w:color w:val="333333"/>
          <w:spacing w:val="8"/>
          <w:kern w:val="0"/>
          <w:sz w:val="28"/>
          <w:szCs w:val="28"/>
          <w:shd w:val="clear" w:color="auto" w:fill="FFFFFF"/>
        </w:rPr>
        <w:t>特此承诺。</w:t>
      </w:r>
    </w:p>
    <w:p>
      <w:pPr>
        <w:widowControl/>
        <w:shd w:val="clear" w:color="auto" w:fill="FFFFFF"/>
        <w:rPr>
          <w:rFonts w:ascii="宋体" w:hAnsi="宋体"/>
          <w:color w:val="333333"/>
          <w:spacing w:val="8"/>
          <w:kern w:val="0"/>
          <w:sz w:val="28"/>
          <w:szCs w:val="28"/>
        </w:rPr>
      </w:pPr>
    </w:p>
    <w:p>
      <w:pPr>
        <w:widowControl/>
        <w:rPr>
          <w:rFonts w:ascii="宋体" w:hAnsi="宋体"/>
          <w:color w:val="333333"/>
          <w:spacing w:val="8"/>
          <w:kern w:val="0"/>
          <w:sz w:val="28"/>
          <w:szCs w:val="28"/>
          <w:shd w:val="clear" w:color="auto" w:fill="FFFFFF"/>
        </w:rPr>
      </w:pPr>
      <w:r>
        <w:rPr>
          <w:rFonts w:hint="eastAsia" w:ascii="宋体" w:hAnsi="宋体"/>
          <w:color w:val="333333"/>
          <w:spacing w:val="8"/>
          <w:kern w:val="0"/>
          <w:sz w:val="28"/>
          <w:szCs w:val="28"/>
          <w:shd w:val="clear" w:color="auto" w:fill="FFFFFF"/>
        </w:rPr>
        <w:t xml:space="preserve">                   供应商名称（全称并加盖公章）：</w:t>
      </w:r>
    </w:p>
    <w:p>
      <w:pPr>
        <w:widowControl/>
        <w:rPr>
          <w:rFonts w:ascii="宋体" w:hAnsi="宋体"/>
          <w:color w:val="333333"/>
          <w:spacing w:val="8"/>
          <w:kern w:val="0"/>
          <w:sz w:val="28"/>
          <w:szCs w:val="28"/>
          <w:shd w:val="clear" w:color="auto" w:fill="FFFFFF"/>
        </w:rPr>
      </w:pPr>
    </w:p>
    <w:p>
      <w:pPr>
        <w:widowControl/>
        <w:rPr>
          <w:rFonts w:ascii="宋体" w:hAnsi="宋体"/>
          <w:color w:val="333333"/>
          <w:spacing w:val="8"/>
          <w:kern w:val="0"/>
          <w:sz w:val="28"/>
          <w:szCs w:val="28"/>
          <w:shd w:val="clear" w:color="auto" w:fill="FFFFFF"/>
        </w:rPr>
      </w:pPr>
      <w:r>
        <w:rPr>
          <w:rFonts w:hint="eastAsia" w:ascii="宋体" w:hAnsi="宋体"/>
          <w:color w:val="333333"/>
          <w:spacing w:val="8"/>
          <w:kern w:val="0"/>
          <w:sz w:val="28"/>
          <w:szCs w:val="28"/>
          <w:shd w:val="clear" w:color="auto" w:fill="FFFFFF"/>
        </w:rPr>
        <w:t xml:space="preserve">                    法定代表人或其委托代理人（签字）：</w:t>
      </w:r>
    </w:p>
    <w:p>
      <w:pPr>
        <w:widowControl/>
        <w:rPr>
          <w:rFonts w:ascii="宋体" w:hAnsi="宋体"/>
          <w:color w:val="333333"/>
          <w:spacing w:val="8"/>
          <w:kern w:val="0"/>
          <w:sz w:val="28"/>
          <w:szCs w:val="28"/>
          <w:shd w:val="clear" w:color="auto" w:fill="FFFFFF"/>
        </w:rPr>
      </w:pPr>
    </w:p>
    <w:p>
      <w:pPr>
        <w:widowControl/>
        <w:rPr>
          <w:rFonts w:ascii="宋体" w:hAnsi="宋体"/>
          <w:color w:val="333333"/>
          <w:spacing w:val="8"/>
          <w:kern w:val="0"/>
          <w:sz w:val="28"/>
          <w:szCs w:val="28"/>
          <w:shd w:val="clear" w:color="auto" w:fill="FFFFFF"/>
        </w:rPr>
      </w:pPr>
      <w:r>
        <w:rPr>
          <w:rFonts w:hint="eastAsia" w:ascii="宋体" w:hAnsi="宋体"/>
          <w:color w:val="333333"/>
          <w:spacing w:val="8"/>
          <w:kern w:val="0"/>
          <w:sz w:val="28"/>
          <w:szCs w:val="28"/>
          <w:shd w:val="clear" w:color="auto" w:fill="FFFFFF"/>
        </w:rPr>
        <w:t xml:space="preserve">                     日     期：     年      月     日</w:t>
      </w:r>
    </w:p>
    <w:p>
      <w:pPr>
        <w:adjustRightInd w:val="0"/>
        <w:spacing w:line="330" w:lineRule="exact"/>
        <w:ind w:firstLine="2040" w:firstLineChars="850"/>
        <w:jc w:val="left"/>
        <w:textAlignment w:val="baseline"/>
        <w:rPr>
          <w:rFonts w:ascii="宋体" w:hAnsi="宋体"/>
          <w:szCs w:val="21"/>
        </w:rPr>
      </w:pPr>
    </w:p>
    <w:p>
      <w:pPr>
        <w:adjustRightInd w:val="0"/>
        <w:spacing w:line="330" w:lineRule="exact"/>
        <w:ind w:firstLine="2040" w:firstLineChars="850"/>
        <w:jc w:val="left"/>
        <w:textAlignment w:val="baseline"/>
        <w:rPr>
          <w:rFonts w:ascii="宋体" w:hAnsi="宋体"/>
          <w:szCs w:val="21"/>
        </w:rPr>
      </w:pPr>
    </w:p>
    <w:p>
      <w:pPr>
        <w:adjustRightInd w:val="0"/>
        <w:spacing w:line="330" w:lineRule="exact"/>
        <w:ind w:firstLine="2040" w:firstLineChars="850"/>
        <w:jc w:val="left"/>
        <w:textAlignment w:val="baseline"/>
        <w:rPr>
          <w:rFonts w:ascii="宋体" w:hAnsi="宋体"/>
          <w:szCs w:val="21"/>
        </w:rPr>
      </w:pPr>
    </w:p>
    <w:p>
      <w:pPr>
        <w:adjustRightInd w:val="0"/>
        <w:spacing w:line="330" w:lineRule="exact"/>
        <w:ind w:firstLine="2040" w:firstLineChars="850"/>
        <w:jc w:val="left"/>
        <w:textAlignment w:val="baseline"/>
        <w:rPr>
          <w:rFonts w:ascii="宋体" w:hAnsi="宋体"/>
          <w:szCs w:val="21"/>
        </w:rPr>
      </w:pPr>
    </w:p>
    <w:p>
      <w:pPr>
        <w:adjustRightInd w:val="0"/>
        <w:spacing w:line="330" w:lineRule="exact"/>
        <w:ind w:firstLine="2040" w:firstLineChars="850"/>
        <w:jc w:val="left"/>
        <w:textAlignment w:val="baseline"/>
        <w:rPr>
          <w:rFonts w:ascii="宋体" w:hAnsi="宋体"/>
          <w:szCs w:val="21"/>
        </w:rPr>
      </w:pPr>
    </w:p>
    <w:p>
      <w:pPr>
        <w:adjustRightInd w:val="0"/>
        <w:spacing w:line="330" w:lineRule="exact"/>
        <w:ind w:firstLine="2040" w:firstLineChars="850"/>
        <w:jc w:val="left"/>
        <w:textAlignment w:val="baseline"/>
        <w:rPr>
          <w:rFonts w:ascii="宋体" w:hAnsi="宋体"/>
          <w:szCs w:val="21"/>
        </w:rPr>
      </w:pPr>
    </w:p>
    <w:p>
      <w:pPr>
        <w:adjustRightInd w:val="0"/>
        <w:spacing w:line="330" w:lineRule="exact"/>
        <w:ind w:firstLine="2040" w:firstLineChars="850"/>
        <w:jc w:val="left"/>
        <w:textAlignment w:val="baseline"/>
        <w:rPr>
          <w:rFonts w:ascii="宋体" w:hAnsi="宋体"/>
          <w:szCs w:val="21"/>
        </w:rPr>
      </w:pPr>
    </w:p>
    <w:p>
      <w:pPr>
        <w:adjustRightInd w:val="0"/>
        <w:spacing w:line="330" w:lineRule="exact"/>
        <w:ind w:firstLine="2040" w:firstLineChars="850"/>
        <w:jc w:val="left"/>
        <w:textAlignment w:val="baseline"/>
        <w:rPr>
          <w:rFonts w:ascii="宋体" w:hAnsi="宋体"/>
          <w:szCs w:val="21"/>
        </w:rPr>
      </w:pPr>
    </w:p>
    <w:p>
      <w:pPr>
        <w:adjustRightInd w:val="0"/>
        <w:spacing w:line="330" w:lineRule="exact"/>
        <w:ind w:firstLine="2040" w:firstLineChars="850"/>
        <w:jc w:val="left"/>
        <w:textAlignment w:val="baseline"/>
        <w:rPr>
          <w:rFonts w:ascii="宋体" w:hAnsi="宋体"/>
          <w:szCs w:val="21"/>
        </w:rPr>
      </w:pPr>
    </w:p>
    <w:p>
      <w:pPr>
        <w:adjustRightInd w:val="0"/>
        <w:spacing w:line="330" w:lineRule="exact"/>
        <w:ind w:firstLine="2040" w:firstLineChars="850"/>
        <w:jc w:val="left"/>
        <w:textAlignment w:val="baseline"/>
        <w:rPr>
          <w:rFonts w:ascii="宋体" w:hAnsi="宋体"/>
          <w:szCs w:val="21"/>
        </w:rPr>
      </w:pPr>
    </w:p>
    <w:p>
      <w:pPr>
        <w:adjustRightInd w:val="0"/>
        <w:spacing w:line="330" w:lineRule="exact"/>
        <w:ind w:firstLine="2040" w:firstLineChars="850"/>
        <w:jc w:val="left"/>
        <w:textAlignment w:val="baseline"/>
        <w:rPr>
          <w:rFonts w:ascii="宋体" w:hAnsi="宋体"/>
          <w:szCs w:val="21"/>
        </w:rPr>
      </w:pPr>
    </w:p>
    <w:p>
      <w:pPr>
        <w:adjustRightInd w:val="0"/>
        <w:spacing w:line="330" w:lineRule="exact"/>
        <w:ind w:firstLine="2040" w:firstLineChars="850"/>
        <w:jc w:val="left"/>
        <w:textAlignment w:val="baseline"/>
        <w:rPr>
          <w:rFonts w:ascii="宋体" w:hAnsi="宋体"/>
          <w:szCs w:val="21"/>
        </w:rPr>
      </w:pPr>
    </w:p>
    <w:p>
      <w:pPr>
        <w:adjustRightInd w:val="0"/>
        <w:spacing w:line="330" w:lineRule="exact"/>
        <w:ind w:firstLine="2040" w:firstLineChars="850"/>
        <w:jc w:val="left"/>
        <w:textAlignment w:val="baseline"/>
        <w:rPr>
          <w:rFonts w:ascii="宋体" w:hAnsi="宋体"/>
          <w:szCs w:val="21"/>
        </w:rPr>
      </w:pPr>
    </w:p>
    <w:p>
      <w:pPr>
        <w:adjustRightInd w:val="0"/>
        <w:spacing w:line="330" w:lineRule="exact"/>
        <w:ind w:firstLine="2040" w:firstLineChars="850"/>
        <w:jc w:val="left"/>
        <w:textAlignment w:val="baseline"/>
        <w:rPr>
          <w:rFonts w:ascii="宋体" w:hAnsi="宋体"/>
          <w:szCs w:val="21"/>
        </w:rPr>
      </w:pPr>
    </w:p>
    <w:p>
      <w:pPr>
        <w:adjustRightInd w:val="0"/>
        <w:spacing w:line="330" w:lineRule="exact"/>
        <w:ind w:firstLine="2040" w:firstLineChars="850"/>
        <w:jc w:val="left"/>
        <w:textAlignment w:val="baseline"/>
        <w:rPr>
          <w:rFonts w:ascii="宋体" w:hAnsi="宋体"/>
          <w:szCs w:val="21"/>
        </w:rPr>
      </w:pPr>
    </w:p>
    <w:p>
      <w:pPr>
        <w:adjustRightInd w:val="0"/>
        <w:spacing w:line="330" w:lineRule="exact"/>
        <w:ind w:firstLine="2040" w:firstLineChars="850"/>
        <w:jc w:val="left"/>
        <w:textAlignment w:val="baseline"/>
        <w:rPr>
          <w:rFonts w:ascii="宋体" w:hAnsi="宋体"/>
          <w:szCs w:val="21"/>
        </w:rPr>
      </w:pPr>
    </w:p>
    <w:p>
      <w:pPr>
        <w:adjustRightInd w:val="0"/>
        <w:spacing w:line="330" w:lineRule="exact"/>
        <w:ind w:firstLine="2040" w:firstLineChars="850"/>
        <w:jc w:val="left"/>
        <w:textAlignment w:val="baseline"/>
        <w:rPr>
          <w:rFonts w:ascii="宋体" w:hAnsi="宋体"/>
          <w:szCs w:val="21"/>
        </w:rPr>
      </w:pPr>
    </w:p>
    <w:p>
      <w:pPr>
        <w:adjustRightInd w:val="0"/>
        <w:spacing w:line="330" w:lineRule="exact"/>
        <w:ind w:firstLine="2040" w:firstLineChars="850"/>
        <w:jc w:val="left"/>
        <w:textAlignment w:val="baseline"/>
        <w:rPr>
          <w:rFonts w:ascii="宋体" w:hAnsi="宋体"/>
          <w:szCs w:val="21"/>
        </w:rPr>
      </w:pPr>
    </w:p>
    <w:p>
      <w:pPr>
        <w:adjustRightInd w:val="0"/>
        <w:spacing w:line="330" w:lineRule="exact"/>
        <w:ind w:firstLine="2040" w:firstLineChars="850"/>
        <w:jc w:val="left"/>
        <w:textAlignment w:val="baseline"/>
        <w:rPr>
          <w:rFonts w:ascii="宋体" w:hAnsi="宋体"/>
          <w:szCs w:val="21"/>
        </w:rPr>
      </w:pPr>
    </w:p>
    <w:p>
      <w:pPr>
        <w:pStyle w:val="26"/>
        <w:ind w:firstLine="480"/>
      </w:pPr>
    </w:p>
    <w:p>
      <w:pPr>
        <w:pStyle w:val="26"/>
        <w:ind w:firstLine="480"/>
      </w:pPr>
    </w:p>
    <w:p>
      <w:pPr>
        <w:pStyle w:val="26"/>
        <w:ind w:firstLine="480"/>
      </w:pPr>
    </w:p>
    <w:p>
      <w:pPr>
        <w:adjustRightInd w:val="0"/>
        <w:spacing w:line="330" w:lineRule="exact"/>
        <w:ind w:firstLine="2040" w:firstLineChars="850"/>
        <w:jc w:val="left"/>
        <w:textAlignment w:val="baseline"/>
        <w:rPr>
          <w:rFonts w:ascii="宋体" w:hAnsi="宋体"/>
          <w:szCs w:val="21"/>
        </w:rPr>
      </w:pPr>
    </w:p>
    <w:p>
      <w:pPr>
        <w:numPr>
          <w:ilvl w:val="3"/>
          <w:numId w:val="48"/>
        </w:numPr>
        <w:spacing w:line="360" w:lineRule="auto"/>
        <w:jc w:val="center"/>
        <w:rPr>
          <w:rFonts w:ascii="宋体" w:hAnsi="宋体"/>
          <w:b/>
          <w:bCs/>
          <w:sz w:val="32"/>
          <w:szCs w:val="32"/>
        </w:rPr>
      </w:pPr>
      <w:r>
        <w:rPr>
          <w:rFonts w:hint="eastAsia" w:ascii="宋体" w:hAnsi="宋体"/>
          <w:b/>
          <w:bCs/>
          <w:sz w:val="32"/>
          <w:szCs w:val="32"/>
        </w:rPr>
        <w:t>投标人基本情况表</w:t>
      </w:r>
    </w:p>
    <w:tbl>
      <w:tblPr>
        <w:tblStyle w:val="3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8"/>
        <w:gridCol w:w="1038"/>
        <w:gridCol w:w="1030"/>
        <w:gridCol w:w="274"/>
        <w:gridCol w:w="514"/>
        <w:gridCol w:w="677"/>
        <w:gridCol w:w="763"/>
        <w:gridCol w:w="788"/>
        <w:gridCol w:w="13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8" w:type="dxa"/>
            <w:vAlign w:val="center"/>
          </w:tcPr>
          <w:p>
            <w:pPr>
              <w:spacing w:line="360" w:lineRule="auto"/>
              <w:jc w:val="center"/>
              <w:rPr>
                <w:rFonts w:ascii="宋体" w:hAnsi="宋体"/>
                <w:szCs w:val="21"/>
              </w:rPr>
            </w:pPr>
            <w:r>
              <w:rPr>
                <w:rFonts w:hint="eastAsia" w:ascii="宋体" w:hAnsi="宋体"/>
                <w:szCs w:val="21"/>
              </w:rPr>
              <w:t>投标人名称</w:t>
            </w:r>
          </w:p>
        </w:tc>
        <w:tc>
          <w:tcPr>
            <w:tcW w:w="6412" w:type="dxa"/>
            <w:gridSpan w:val="8"/>
            <w:vAlign w:val="center"/>
          </w:tcPr>
          <w:p>
            <w:pPr>
              <w:spacing w:line="360"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8" w:type="dxa"/>
            <w:vAlign w:val="center"/>
          </w:tcPr>
          <w:p>
            <w:pPr>
              <w:spacing w:line="360" w:lineRule="auto"/>
              <w:jc w:val="center"/>
              <w:rPr>
                <w:rFonts w:ascii="宋体" w:hAnsi="宋体"/>
                <w:szCs w:val="21"/>
              </w:rPr>
            </w:pPr>
            <w:r>
              <w:rPr>
                <w:rFonts w:hint="eastAsia" w:ascii="宋体" w:hAnsi="宋体"/>
                <w:szCs w:val="21"/>
              </w:rPr>
              <w:t>注册地址</w:t>
            </w:r>
          </w:p>
        </w:tc>
        <w:tc>
          <w:tcPr>
            <w:tcW w:w="2342" w:type="dxa"/>
            <w:gridSpan w:val="3"/>
            <w:vAlign w:val="center"/>
          </w:tcPr>
          <w:p>
            <w:pPr>
              <w:spacing w:line="360" w:lineRule="auto"/>
              <w:jc w:val="center"/>
              <w:rPr>
                <w:rFonts w:ascii="宋体" w:hAnsi="宋体"/>
                <w:szCs w:val="21"/>
              </w:rPr>
            </w:pPr>
          </w:p>
        </w:tc>
        <w:tc>
          <w:tcPr>
            <w:tcW w:w="1191" w:type="dxa"/>
            <w:gridSpan w:val="2"/>
            <w:vAlign w:val="center"/>
          </w:tcPr>
          <w:p>
            <w:pPr>
              <w:spacing w:line="360" w:lineRule="auto"/>
              <w:jc w:val="center"/>
              <w:rPr>
                <w:rFonts w:ascii="宋体" w:hAnsi="宋体"/>
                <w:szCs w:val="21"/>
              </w:rPr>
            </w:pPr>
            <w:r>
              <w:rPr>
                <w:rFonts w:hint="eastAsia" w:ascii="宋体" w:hAnsi="宋体"/>
                <w:szCs w:val="21"/>
              </w:rPr>
              <w:t>邮政编码</w:t>
            </w:r>
          </w:p>
        </w:tc>
        <w:tc>
          <w:tcPr>
            <w:tcW w:w="2879" w:type="dxa"/>
            <w:gridSpan w:val="3"/>
            <w:vAlign w:val="center"/>
          </w:tcPr>
          <w:p>
            <w:pPr>
              <w:spacing w:line="360"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8" w:type="dxa"/>
            <w:vMerge w:val="restart"/>
            <w:vAlign w:val="center"/>
          </w:tcPr>
          <w:p>
            <w:pPr>
              <w:spacing w:line="360" w:lineRule="auto"/>
              <w:jc w:val="center"/>
              <w:rPr>
                <w:rFonts w:ascii="宋体" w:hAnsi="宋体"/>
                <w:szCs w:val="21"/>
              </w:rPr>
            </w:pPr>
            <w:r>
              <w:rPr>
                <w:rFonts w:hint="eastAsia" w:ascii="宋体" w:hAnsi="宋体"/>
                <w:szCs w:val="21"/>
              </w:rPr>
              <w:t>联系方式</w:t>
            </w:r>
          </w:p>
        </w:tc>
        <w:tc>
          <w:tcPr>
            <w:tcW w:w="1038" w:type="dxa"/>
            <w:vAlign w:val="center"/>
          </w:tcPr>
          <w:p>
            <w:pPr>
              <w:spacing w:line="360" w:lineRule="auto"/>
              <w:jc w:val="center"/>
              <w:rPr>
                <w:rFonts w:ascii="宋体" w:hAnsi="宋体"/>
                <w:szCs w:val="21"/>
              </w:rPr>
            </w:pPr>
            <w:r>
              <w:rPr>
                <w:rFonts w:hint="eastAsia" w:ascii="宋体" w:hAnsi="宋体"/>
                <w:szCs w:val="21"/>
              </w:rPr>
              <w:t>联系人</w:t>
            </w:r>
          </w:p>
        </w:tc>
        <w:tc>
          <w:tcPr>
            <w:tcW w:w="1304" w:type="dxa"/>
            <w:gridSpan w:val="2"/>
            <w:vAlign w:val="center"/>
          </w:tcPr>
          <w:p>
            <w:pPr>
              <w:spacing w:line="360" w:lineRule="auto"/>
              <w:jc w:val="center"/>
              <w:rPr>
                <w:rFonts w:ascii="宋体" w:hAnsi="宋体"/>
                <w:szCs w:val="21"/>
              </w:rPr>
            </w:pPr>
          </w:p>
        </w:tc>
        <w:tc>
          <w:tcPr>
            <w:tcW w:w="1191" w:type="dxa"/>
            <w:gridSpan w:val="2"/>
            <w:vAlign w:val="center"/>
          </w:tcPr>
          <w:p>
            <w:pPr>
              <w:spacing w:line="360" w:lineRule="auto"/>
              <w:jc w:val="center"/>
              <w:rPr>
                <w:rFonts w:ascii="宋体" w:hAnsi="宋体"/>
                <w:szCs w:val="21"/>
              </w:rPr>
            </w:pPr>
            <w:r>
              <w:rPr>
                <w:rFonts w:hint="eastAsia" w:ascii="宋体" w:hAnsi="宋体"/>
                <w:szCs w:val="21"/>
              </w:rPr>
              <w:t>电话</w:t>
            </w:r>
          </w:p>
        </w:tc>
        <w:tc>
          <w:tcPr>
            <w:tcW w:w="2879" w:type="dxa"/>
            <w:gridSpan w:val="3"/>
            <w:vAlign w:val="center"/>
          </w:tcPr>
          <w:p>
            <w:pPr>
              <w:spacing w:line="360"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8" w:type="dxa"/>
            <w:vMerge w:val="continue"/>
            <w:vAlign w:val="center"/>
          </w:tcPr>
          <w:p>
            <w:pPr>
              <w:spacing w:line="360" w:lineRule="auto"/>
              <w:jc w:val="center"/>
              <w:rPr>
                <w:rFonts w:ascii="宋体" w:hAnsi="宋体"/>
                <w:szCs w:val="21"/>
              </w:rPr>
            </w:pPr>
          </w:p>
        </w:tc>
        <w:tc>
          <w:tcPr>
            <w:tcW w:w="1038" w:type="dxa"/>
            <w:vAlign w:val="center"/>
          </w:tcPr>
          <w:p>
            <w:pPr>
              <w:spacing w:line="360" w:lineRule="auto"/>
              <w:jc w:val="center"/>
              <w:rPr>
                <w:rFonts w:ascii="宋体" w:hAnsi="宋体"/>
                <w:szCs w:val="21"/>
              </w:rPr>
            </w:pPr>
            <w:r>
              <w:rPr>
                <w:rFonts w:hint="eastAsia" w:ascii="宋体" w:hAnsi="宋体"/>
                <w:szCs w:val="21"/>
              </w:rPr>
              <w:t>传真</w:t>
            </w:r>
          </w:p>
        </w:tc>
        <w:tc>
          <w:tcPr>
            <w:tcW w:w="1304" w:type="dxa"/>
            <w:gridSpan w:val="2"/>
            <w:vAlign w:val="center"/>
          </w:tcPr>
          <w:p>
            <w:pPr>
              <w:spacing w:line="360" w:lineRule="auto"/>
              <w:jc w:val="center"/>
              <w:rPr>
                <w:rFonts w:ascii="宋体" w:hAnsi="宋体"/>
                <w:szCs w:val="21"/>
              </w:rPr>
            </w:pPr>
          </w:p>
        </w:tc>
        <w:tc>
          <w:tcPr>
            <w:tcW w:w="1191" w:type="dxa"/>
            <w:gridSpan w:val="2"/>
            <w:vAlign w:val="center"/>
          </w:tcPr>
          <w:p>
            <w:pPr>
              <w:spacing w:line="360" w:lineRule="auto"/>
              <w:jc w:val="center"/>
              <w:rPr>
                <w:rFonts w:ascii="宋体" w:hAnsi="宋体"/>
                <w:szCs w:val="21"/>
              </w:rPr>
            </w:pPr>
            <w:r>
              <w:rPr>
                <w:rFonts w:hint="eastAsia" w:ascii="宋体" w:hAnsi="宋体"/>
                <w:szCs w:val="21"/>
              </w:rPr>
              <w:t>网址</w:t>
            </w:r>
          </w:p>
        </w:tc>
        <w:tc>
          <w:tcPr>
            <w:tcW w:w="2879" w:type="dxa"/>
            <w:gridSpan w:val="3"/>
            <w:vAlign w:val="center"/>
          </w:tcPr>
          <w:p>
            <w:pPr>
              <w:spacing w:line="360"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8" w:type="dxa"/>
            <w:vAlign w:val="center"/>
          </w:tcPr>
          <w:p>
            <w:pPr>
              <w:spacing w:line="360" w:lineRule="auto"/>
              <w:jc w:val="center"/>
              <w:rPr>
                <w:rFonts w:ascii="宋体" w:hAnsi="宋体"/>
                <w:szCs w:val="21"/>
              </w:rPr>
            </w:pPr>
            <w:r>
              <w:rPr>
                <w:rFonts w:hint="eastAsia" w:ascii="宋体" w:hAnsi="宋体"/>
                <w:szCs w:val="21"/>
              </w:rPr>
              <w:t>营业执照号</w:t>
            </w:r>
          </w:p>
        </w:tc>
        <w:tc>
          <w:tcPr>
            <w:tcW w:w="6412" w:type="dxa"/>
            <w:gridSpan w:val="8"/>
            <w:vAlign w:val="center"/>
          </w:tcPr>
          <w:p>
            <w:pPr>
              <w:spacing w:line="360"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8" w:type="dxa"/>
            <w:vAlign w:val="center"/>
          </w:tcPr>
          <w:p>
            <w:pPr>
              <w:spacing w:line="240" w:lineRule="exact"/>
              <w:jc w:val="center"/>
              <w:rPr>
                <w:rFonts w:ascii="宋体" w:hAnsi="宋体"/>
                <w:szCs w:val="21"/>
              </w:rPr>
            </w:pPr>
            <w:r>
              <w:rPr>
                <w:rFonts w:hint="eastAsia" w:ascii="宋体" w:hAnsi="宋体"/>
                <w:szCs w:val="21"/>
              </w:rPr>
              <w:t>税务登记证号</w:t>
            </w:r>
          </w:p>
        </w:tc>
        <w:tc>
          <w:tcPr>
            <w:tcW w:w="6412" w:type="dxa"/>
            <w:gridSpan w:val="8"/>
            <w:vAlign w:val="center"/>
          </w:tcPr>
          <w:p>
            <w:pPr>
              <w:spacing w:line="240" w:lineRule="exact"/>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8" w:type="dxa"/>
            <w:vAlign w:val="center"/>
          </w:tcPr>
          <w:p>
            <w:pPr>
              <w:spacing w:line="360" w:lineRule="auto"/>
              <w:jc w:val="center"/>
              <w:rPr>
                <w:rFonts w:ascii="宋体" w:hAnsi="宋体"/>
                <w:szCs w:val="21"/>
              </w:rPr>
            </w:pPr>
            <w:r>
              <w:rPr>
                <w:rFonts w:hint="eastAsia" w:ascii="宋体" w:hAnsi="宋体"/>
                <w:szCs w:val="21"/>
              </w:rPr>
              <w:t>组织机构代码证号</w:t>
            </w:r>
          </w:p>
        </w:tc>
        <w:tc>
          <w:tcPr>
            <w:tcW w:w="6412" w:type="dxa"/>
            <w:gridSpan w:val="8"/>
            <w:vAlign w:val="center"/>
          </w:tcPr>
          <w:p>
            <w:pPr>
              <w:spacing w:line="360"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8" w:type="dxa"/>
            <w:vAlign w:val="center"/>
          </w:tcPr>
          <w:p>
            <w:pPr>
              <w:spacing w:line="360" w:lineRule="auto"/>
              <w:jc w:val="center"/>
              <w:rPr>
                <w:rFonts w:ascii="宋体" w:hAnsi="宋体"/>
                <w:szCs w:val="21"/>
              </w:rPr>
            </w:pPr>
            <w:r>
              <w:rPr>
                <w:rFonts w:hint="eastAsia" w:ascii="宋体" w:hAnsi="宋体"/>
                <w:szCs w:val="21"/>
              </w:rPr>
              <w:t>资质证书证号</w:t>
            </w:r>
          </w:p>
        </w:tc>
        <w:tc>
          <w:tcPr>
            <w:tcW w:w="6412" w:type="dxa"/>
            <w:gridSpan w:val="8"/>
            <w:vAlign w:val="center"/>
          </w:tcPr>
          <w:p>
            <w:pPr>
              <w:spacing w:line="360"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8" w:type="dxa"/>
            <w:vAlign w:val="center"/>
          </w:tcPr>
          <w:p>
            <w:pPr>
              <w:spacing w:line="360" w:lineRule="auto"/>
              <w:jc w:val="center"/>
              <w:rPr>
                <w:rFonts w:ascii="宋体" w:hAnsi="宋体"/>
                <w:szCs w:val="21"/>
              </w:rPr>
            </w:pPr>
            <w:r>
              <w:rPr>
                <w:rFonts w:hint="eastAsia" w:ascii="宋体" w:hAnsi="宋体"/>
                <w:szCs w:val="21"/>
              </w:rPr>
              <w:t>法定代表人</w:t>
            </w:r>
          </w:p>
        </w:tc>
        <w:tc>
          <w:tcPr>
            <w:tcW w:w="1038" w:type="dxa"/>
            <w:vAlign w:val="center"/>
          </w:tcPr>
          <w:p>
            <w:pPr>
              <w:spacing w:line="360" w:lineRule="auto"/>
              <w:jc w:val="center"/>
              <w:rPr>
                <w:rFonts w:ascii="宋体" w:hAnsi="宋体"/>
                <w:szCs w:val="21"/>
              </w:rPr>
            </w:pPr>
            <w:r>
              <w:rPr>
                <w:rFonts w:hint="eastAsia" w:ascii="宋体" w:hAnsi="宋体"/>
                <w:szCs w:val="21"/>
              </w:rPr>
              <w:t>姓名</w:t>
            </w:r>
          </w:p>
        </w:tc>
        <w:tc>
          <w:tcPr>
            <w:tcW w:w="1030" w:type="dxa"/>
            <w:vAlign w:val="center"/>
          </w:tcPr>
          <w:p>
            <w:pPr>
              <w:spacing w:line="360" w:lineRule="auto"/>
              <w:jc w:val="center"/>
              <w:rPr>
                <w:rFonts w:ascii="宋体" w:hAnsi="宋体"/>
                <w:szCs w:val="21"/>
              </w:rPr>
            </w:pPr>
          </w:p>
        </w:tc>
        <w:tc>
          <w:tcPr>
            <w:tcW w:w="788" w:type="dxa"/>
            <w:gridSpan w:val="2"/>
            <w:vAlign w:val="center"/>
          </w:tcPr>
          <w:p>
            <w:pPr>
              <w:spacing w:line="360" w:lineRule="auto"/>
              <w:jc w:val="center"/>
              <w:rPr>
                <w:rFonts w:ascii="宋体" w:hAnsi="宋体"/>
                <w:szCs w:val="21"/>
              </w:rPr>
            </w:pPr>
            <w:r>
              <w:rPr>
                <w:rFonts w:hint="eastAsia" w:ascii="宋体" w:hAnsi="宋体"/>
                <w:szCs w:val="21"/>
              </w:rPr>
              <w:t>职务</w:t>
            </w:r>
          </w:p>
        </w:tc>
        <w:tc>
          <w:tcPr>
            <w:tcW w:w="1440" w:type="dxa"/>
            <w:gridSpan w:val="2"/>
            <w:vAlign w:val="center"/>
          </w:tcPr>
          <w:p>
            <w:pPr>
              <w:spacing w:line="360" w:lineRule="auto"/>
              <w:jc w:val="center"/>
              <w:rPr>
                <w:rFonts w:ascii="宋体" w:hAnsi="宋体"/>
                <w:szCs w:val="21"/>
              </w:rPr>
            </w:pPr>
          </w:p>
        </w:tc>
        <w:tc>
          <w:tcPr>
            <w:tcW w:w="788" w:type="dxa"/>
            <w:vAlign w:val="center"/>
          </w:tcPr>
          <w:p>
            <w:pPr>
              <w:spacing w:line="360" w:lineRule="auto"/>
              <w:jc w:val="center"/>
              <w:rPr>
                <w:rFonts w:ascii="宋体" w:hAnsi="宋体"/>
                <w:szCs w:val="21"/>
              </w:rPr>
            </w:pPr>
            <w:r>
              <w:rPr>
                <w:rFonts w:hint="eastAsia" w:ascii="宋体" w:hAnsi="宋体"/>
                <w:szCs w:val="21"/>
              </w:rPr>
              <w:t>电话</w:t>
            </w:r>
          </w:p>
        </w:tc>
        <w:tc>
          <w:tcPr>
            <w:tcW w:w="1328" w:type="dxa"/>
            <w:vAlign w:val="center"/>
          </w:tcPr>
          <w:p>
            <w:pPr>
              <w:spacing w:line="360"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8" w:type="dxa"/>
            <w:vAlign w:val="center"/>
          </w:tcPr>
          <w:p>
            <w:pPr>
              <w:spacing w:line="360" w:lineRule="auto"/>
              <w:jc w:val="center"/>
              <w:rPr>
                <w:rFonts w:ascii="宋体" w:hAnsi="宋体"/>
                <w:szCs w:val="21"/>
              </w:rPr>
            </w:pPr>
            <w:r>
              <w:rPr>
                <w:rFonts w:hint="eastAsia" w:ascii="宋体" w:hAnsi="宋体"/>
                <w:szCs w:val="21"/>
              </w:rPr>
              <w:t>注册资金</w:t>
            </w:r>
          </w:p>
        </w:tc>
        <w:tc>
          <w:tcPr>
            <w:tcW w:w="2068" w:type="dxa"/>
            <w:gridSpan w:val="2"/>
            <w:vAlign w:val="center"/>
          </w:tcPr>
          <w:p>
            <w:pPr>
              <w:spacing w:line="360" w:lineRule="auto"/>
              <w:jc w:val="center"/>
              <w:rPr>
                <w:rFonts w:ascii="宋体" w:hAnsi="宋体"/>
                <w:szCs w:val="21"/>
              </w:rPr>
            </w:pPr>
          </w:p>
        </w:tc>
        <w:tc>
          <w:tcPr>
            <w:tcW w:w="2228" w:type="dxa"/>
            <w:gridSpan w:val="4"/>
            <w:vAlign w:val="center"/>
          </w:tcPr>
          <w:p>
            <w:pPr>
              <w:spacing w:line="360" w:lineRule="auto"/>
              <w:jc w:val="center"/>
              <w:rPr>
                <w:rFonts w:ascii="宋体" w:hAnsi="宋体"/>
                <w:szCs w:val="21"/>
              </w:rPr>
            </w:pPr>
            <w:r>
              <w:rPr>
                <w:rFonts w:hint="eastAsia" w:ascii="宋体" w:hAnsi="宋体"/>
                <w:szCs w:val="21"/>
              </w:rPr>
              <w:t>成立时间</w:t>
            </w:r>
          </w:p>
        </w:tc>
        <w:tc>
          <w:tcPr>
            <w:tcW w:w="2116" w:type="dxa"/>
            <w:gridSpan w:val="2"/>
            <w:vAlign w:val="center"/>
          </w:tcPr>
          <w:p>
            <w:pPr>
              <w:spacing w:line="360"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8" w:type="dxa"/>
            <w:vAlign w:val="center"/>
          </w:tcPr>
          <w:p>
            <w:pPr>
              <w:spacing w:line="360" w:lineRule="auto"/>
              <w:jc w:val="center"/>
              <w:rPr>
                <w:rFonts w:ascii="宋体" w:hAnsi="宋体"/>
                <w:szCs w:val="21"/>
              </w:rPr>
            </w:pPr>
            <w:r>
              <w:rPr>
                <w:rFonts w:hint="eastAsia" w:ascii="宋体" w:hAnsi="宋体"/>
                <w:szCs w:val="21"/>
              </w:rPr>
              <w:t>开户银行</w:t>
            </w:r>
          </w:p>
        </w:tc>
        <w:tc>
          <w:tcPr>
            <w:tcW w:w="2068" w:type="dxa"/>
            <w:gridSpan w:val="2"/>
            <w:vAlign w:val="center"/>
          </w:tcPr>
          <w:p>
            <w:pPr>
              <w:spacing w:line="360" w:lineRule="auto"/>
              <w:jc w:val="center"/>
              <w:rPr>
                <w:rFonts w:ascii="宋体" w:hAnsi="宋体"/>
                <w:szCs w:val="21"/>
              </w:rPr>
            </w:pPr>
          </w:p>
        </w:tc>
        <w:tc>
          <w:tcPr>
            <w:tcW w:w="2228" w:type="dxa"/>
            <w:gridSpan w:val="4"/>
            <w:vAlign w:val="center"/>
          </w:tcPr>
          <w:p>
            <w:pPr>
              <w:spacing w:line="360" w:lineRule="auto"/>
              <w:jc w:val="center"/>
              <w:rPr>
                <w:rFonts w:ascii="宋体" w:hAnsi="宋体"/>
                <w:szCs w:val="21"/>
              </w:rPr>
            </w:pPr>
            <w:r>
              <w:rPr>
                <w:rFonts w:hint="eastAsia" w:ascii="宋体" w:hAnsi="宋体"/>
                <w:szCs w:val="21"/>
              </w:rPr>
              <w:t>账号</w:t>
            </w:r>
          </w:p>
        </w:tc>
        <w:tc>
          <w:tcPr>
            <w:tcW w:w="2116" w:type="dxa"/>
            <w:gridSpan w:val="2"/>
            <w:vAlign w:val="center"/>
          </w:tcPr>
          <w:p>
            <w:pPr>
              <w:spacing w:line="360"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8" w:type="dxa"/>
            <w:vAlign w:val="center"/>
          </w:tcPr>
          <w:p>
            <w:pPr>
              <w:spacing w:line="360" w:lineRule="auto"/>
              <w:jc w:val="center"/>
              <w:rPr>
                <w:rFonts w:ascii="宋体" w:hAnsi="宋体"/>
                <w:szCs w:val="21"/>
              </w:rPr>
            </w:pPr>
            <w:r>
              <w:rPr>
                <w:rFonts w:hint="eastAsia" w:ascii="宋体" w:hAnsi="宋体"/>
                <w:szCs w:val="21"/>
              </w:rPr>
              <w:t>经营范围</w:t>
            </w:r>
          </w:p>
        </w:tc>
        <w:tc>
          <w:tcPr>
            <w:tcW w:w="6412" w:type="dxa"/>
            <w:gridSpan w:val="8"/>
            <w:vAlign w:val="center"/>
          </w:tcPr>
          <w:p>
            <w:pPr>
              <w:spacing w:line="360"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8" w:type="dxa"/>
            <w:vAlign w:val="center"/>
          </w:tcPr>
          <w:p>
            <w:pPr>
              <w:spacing w:line="360" w:lineRule="auto"/>
              <w:jc w:val="center"/>
              <w:rPr>
                <w:rFonts w:ascii="宋体" w:hAnsi="宋体"/>
                <w:szCs w:val="21"/>
              </w:rPr>
            </w:pPr>
            <w:r>
              <w:rPr>
                <w:rFonts w:hint="eastAsia" w:ascii="宋体" w:hAnsi="宋体"/>
                <w:szCs w:val="21"/>
              </w:rPr>
              <w:t>备注</w:t>
            </w:r>
          </w:p>
        </w:tc>
        <w:tc>
          <w:tcPr>
            <w:tcW w:w="6412" w:type="dxa"/>
            <w:gridSpan w:val="8"/>
            <w:vAlign w:val="center"/>
          </w:tcPr>
          <w:p>
            <w:pPr>
              <w:spacing w:line="360" w:lineRule="auto"/>
              <w:jc w:val="center"/>
              <w:rPr>
                <w:rFonts w:ascii="宋体" w:hAnsi="宋体"/>
                <w:szCs w:val="21"/>
              </w:rPr>
            </w:pPr>
          </w:p>
        </w:tc>
      </w:tr>
    </w:tbl>
    <w:p>
      <w:pPr>
        <w:spacing w:line="360" w:lineRule="auto"/>
        <w:rPr>
          <w:rFonts w:ascii="宋体" w:hAnsi="宋体"/>
          <w:szCs w:val="21"/>
        </w:rPr>
      </w:pPr>
      <w:r>
        <w:rPr>
          <w:rFonts w:hint="eastAsia" w:ascii="宋体" w:hAnsi="宋体"/>
          <w:szCs w:val="21"/>
        </w:rPr>
        <w:t>注：投标人可根据实际情况自行添加表格内容。</w:t>
      </w:r>
    </w:p>
    <w:p>
      <w:pPr>
        <w:spacing w:line="360" w:lineRule="auto"/>
        <w:rPr>
          <w:rFonts w:ascii="宋体" w:hAnsi="宋体"/>
          <w:sz w:val="28"/>
          <w:szCs w:val="28"/>
        </w:rPr>
      </w:pPr>
    </w:p>
    <w:p>
      <w:pPr>
        <w:spacing w:line="360" w:lineRule="auto"/>
        <w:rPr>
          <w:rFonts w:ascii="宋体" w:hAnsi="宋体"/>
          <w:szCs w:val="21"/>
        </w:rPr>
      </w:pPr>
      <w:r>
        <w:rPr>
          <w:rFonts w:hint="eastAsia" w:ascii="宋体" w:hAnsi="宋体"/>
          <w:szCs w:val="21"/>
        </w:rPr>
        <w:t>投标人名称（全称并加盖公章）：</w:t>
      </w:r>
    </w:p>
    <w:p>
      <w:pPr>
        <w:spacing w:line="360" w:lineRule="auto"/>
        <w:rPr>
          <w:rFonts w:ascii="宋体" w:hAnsi="宋体"/>
          <w:szCs w:val="21"/>
        </w:rPr>
      </w:pPr>
      <w:r>
        <w:rPr>
          <w:rFonts w:hint="eastAsia" w:ascii="宋体" w:hAnsi="宋体"/>
          <w:szCs w:val="21"/>
        </w:rPr>
        <w:t>法定代表人或其委托代理人（签字）：</w:t>
      </w:r>
    </w:p>
    <w:p>
      <w:pPr>
        <w:spacing w:line="360" w:lineRule="auto"/>
        <w:rPr>
          <w:rFonts w:ascii="宋体" w:hAnsi="宋体"/>
          <w:szCs w:val="21"/>
        </w:rPr>
      </w:pPr>
    </w:p>
    <w:p>
      <w:pPr>
        <w:spacing w:line="360" w:lineRule="auto"/>
        <w:rPr>
          <w:rFonts w:ascii="宋体" w:hAnsi="宋体"/>
          <w:szCs w:val="21"/>
        </w:rPr>
      </w:pPr>
      <w:r>
        <w:rPr>
          <w:rFonts w:hint="eastAsia" w:ascii="宋体" w:hAnsi="宋体"/>
          <w:szCs w:val="21"/>
        </w:rPr>
        <w:t xml:space="preserve">                                           年  月  日</w:t>
      </w:r>
    </w:p>
    <w:p>
      <w:pPr>
        <w:spacing w:line="360" w:lineRule="auto"/>
        <w:jc w:val="center"/>
        <w:rPr>
          <w:rFonts w:ascii="宋体" w:hAnsi="宋体"/>
          <w:b/>
          <w:bCs/>
          <w:sz w:val="32"/>
          <w:szCs w:val="32"/>
        </w:rPr>
      </w:pPr>
    </w:p>
    <w:p>
      <w:pPr>
        <w:numPr>
          <w:ilvl w:val="3"/>
          <w:numId w:val="48"/>
        </w:numPr>
        <w:spacing w:line="360" w:lineRule="auto"/>
        <w:jc w:val="center"/>
        <w:rPr>
          <w:rFonts w:ascii="宋体" w:hAnsi="宋体"/>
          <w:b/>
          <w:bCs/>
          <w:sz w:val="32"/>
          <w:szCs w:val="32"/>
        </w:rPr>
      </w:pPr>
      <w:r>
        <w:rPr>
          <w:rFonts w:hint="eastAsia" w:ascii="宋体" w:hAnsi="宋体"/>
          <w:b/>
          <w:bCs/>
          <w:sz w:val="32"/>
          <w:szCs w:val="32"/>
        </w:rPr>
        <w:t>开标一览表</w:t>
      </w:r>
    </w:p>
    <w:tbl>
      <w:tblPr>
        <w:tblStyle w:val="36"/>
        <w:tblW w:w="0" w:type="auto"/>
        <w:jc w:val="center"/>
        <w:tblLayout w:type="fixed"/>
        <w:tblCellMar>
          <w:top w:w="0" w:type="dxa"/>
          <w:left w:w="108" w:type="dxa"/>
          <w:bottom w:w="0" w:type="dxa"/>
          <w:right w:w="108" w:type="dxa"/>
        </w:tblCellMar>
      </w:tblPr>
      <w:tblGrid>
        <w:gridCol w:w="2366"/>
        <w:gridCol w:w="6120"/>
      </w:tblGrid>
      <w:tr>
        <w:tblPrEx>
          <w:tblCellMar>
            <w:top w:w="0" w:type="dxa"/>
            <w:left w:w="108" w:type="dxa"/>
            <w:bottom w:w="0" w:type="dxa"/>
            <w:right w:w="108" w:type="dxa"/>
          </w:tblCellMar>
        </w:tblPrEx>
        <w:trPr>
          <w:trHeight w:val="773" w:hRule="atLeast"/>
          <w:jc w:val="center"/>
        </w:trPr>
        <w:tc>
          <w:tcPr>
            <w:tcW w:w="2366"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项目名称</w:t>
            </w:r>
          </w:p>
        </w:tc>
        <w:tc>
          <w:tcPr>
            <w:tcW w:w="612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p>
        </w:tc>
      </w:tr>
      <w:tr>
        <w:tblPrEx>
          <w:tblCellMar>
            <w:top w:w="0" w:type="dxa"/>
            <w:left w:w="108" w:type="dxa"/>
            <w:bottom w:w="0" w:type="dxa"/>
            <w:right w:w="108" w:type="dxa"/>
          </w:tblCellMar>
        </w:tblPrEx>
        <w:trPr>
          <w:cantSplit/>
          <w:trHeight w:val="783" w:hRule="atLeast"/>
          <w:jc w:val="center"/>
        </w:trPr>
        <w:tc>
          <w:tcPr>
            <w:tcW w:w="2366" w:type="dxa"/>
            <w:tcBorders>
              <w:left w:val="single" w:color="auto" w:sz="4" w:space="0"/>
              <w:right w:val="single" w:color="auto" w:sz="4" w:space="0"/>
            </w:tcBorders>
            <w:vAlign w:val="center"/>
          </w:tcPr>
          <w:p>
            <w:pPr>
              <w:jc w:val="center"/>
              <w:rPr>
                <w:rFonts w:ascii="宋体" w:hAnsi="宋体"/>
                <w:szCs w:val="21"/>
              </w:rPr>
            </w:pPr>
            <w:r>
              <w:rPr>
                <w:rFonts w:hint="eastAsia" w:ascii="宋体" w:hAnsi="宋体"/>
                <w:szCs w:val="21"/>
              </w:rPr>
              <w:t>交易编号</w:t>
            </w:r>
          </w:p>
        </w:tc>
        <w:tc>
          <w:tcPr>
            <w:tcW w:w="6120" w:type="dxa"/>
            <w:tcBorders>
              <w:left w:val="single" w:color="auto" w:sz="4" w:space="0"/>
              <w:right w:val="single" w:color="auto" w:sz="4" w:space="0"/>
            </w:tcBorders>
            <w:vAlign w:val="center"/>
          </w:tcPr>
          <w:p>
            <w:pPr>
              <w:ind w:left="108"/>
              <w:jc w:val="center"/>
              <w:rPr>
                <w:rFonts w:ascii="宋体" w:hAnsi="宋体"/>
                <w:szCs w:val="21"/>
              </w:rPr>
            </w:pPr>
          </w:p>
        </w:tc>
      </w:tr>
      <w:tr>
        <w:tblPrEx>
          <w:tblCellMar>
            <w:top w:w="0" w:type="dxa"/>
            <w:left w:w="108" w:type="dxa"/>
            <w:bottom w:w="0" w:type="dxa"/>
            <w:right w:w="108" w:type="dxa"/>
          </w:tblCellMar>
        </w:tblPrEx>
        <w:trPr>
          <w:cantSplit/>
          <w:trHeight w:val="776" w:hRule="atLeast"/>
          <w:jc w:val="center"/>
        </w:trPr>
        <w:tc>
          <w:tcPr>
            <w:tcW w:w="2366"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投标人名称</w:t>
            </w:r>
          </w:p>
        </w:tc>
        <w:tc>
          <w:tcPr>
            <w:tcW w:w="612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p>
        </w:tc>
      </w:tr>
      <w:tr>
        <w:tblPrEx>
          <w:tblCellMar>
            <w:top w:w="0" w:type="dxa"/>
            <w:left w:w="108" w:type="dxa"/>
            <w:bottom w:w="0" w:type="dxa"/>
            <w:right w:w="108" w:type="dxa"/>
          </w:tblCellMar>
        </w:tblPrEx>
        <w:trPr>
          <w:cantSplit/>
          <w:trHeight w:val="785" w:hRule="atLeast"/>
          <w:jc w:val="center"/>
        </w:trPr>
        <w:tc>
          <w:tcPr>
            <w:tcW w:w="2366"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投标总报价</w:t>
            </w:r>
          </w:p>
        </w:tc>
        <w:tc>
          <w:tcPr>
            <w:tcW w:w="6120" w:type="dxa"/>
            <w:tcBorders>
              <w:top w:val="single" w:color="auto" w:sz="4" w:space="0"/>
              <w:left w:val="single" w:color="auto" w:sz="4" w:space="0"/>
              <w:bottom w:val="single" w:color="auto" w:sz="4" w:space="0"/>
              <w:right w:val="single" w:color="auto" w:sz="4" w:space="0"/>
            </w:tcBorders>
            <w:vAlign w:val="center"/>
          </w:tcPr>
          <w:p>
            <w:pPr>
              <w:ind w:left="1440" w:hanging="1440" w:hangingChars="600"/>
              <w:rPr>
                <w:rFonts w:ascii="宋体" w:hAnsi="宋体"/>
                <w:szCs w:val="21"/>
              </w:rPr>
            </w:pPr>
            <w:r>
              <w:rPr>
                <w:rFonts w:hint="eastAsia" w:ascii="宋体" w:hAnsi="宋体"/>
                <w:szCs w:val="21"/>
              </w:rPr>
              <w:t>大写：                　　¥：</w:t>
            </w:r>
          </w:p>
        </w:tc>
      </w:tr>
      <w:tr>
        <w:tblPrEx>
          <w:tblCellMar>
            <w:top w:w="0" w:type="dxa"/>
            <w:left w:w="108" w:type="dxa"/>
            <w:bottom w:w="0" w:type="dxa"/>
            <w:right w:w="108" w:type="dxa"/>
          </w:tblCellMar>
        </w:tblPrEx>
        <w:trPr>
          <w:cantSplit/>
          <w:trHeight w:val="785" w:hRule="atLeast"/>
          <w:jc w:val="center"/>
        </w:trPr>
        <w:tc>
          <w:tcPr>
            <w:tcW w:w="2366"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质量标准</w:t>
            </w:r>
          </w:p>
        </w:tc>
        <w:tc>
          <w:tcPr>
            <w:tcW w:w="6120" w:type="dxa"/>
            <w:tcBorders>
              <w:top w:val="single" w:color="auto" w:sz="4" w:space="0"/>
              <w:left w:val="single" w:color="auto" w:sz="4" w:space="0"/>
              <w:bottom w:val="single" w:color="auto" w:sz="4" w:space="0"/>
              <w:right w:val="single" w:color="auto" w:sz="4" w:space="0"/>
            </w:tcBorders>
            <w:vAlign w:val="center"/>
          </w:tcPr>
          <w:p>
            <w:pPr>
              <w:ind w:left="1440" w:hanging="1440" w:hangingChars="600"/>
              <w:rPr>
                <w:rFonts w:ascii="宋体" w:hAnsi="宋体"/>
                <w:szCs w:val="21"/>
              </w:rPr>
            </w:pPr>
          </w:p>
        </w:tc>
      </w:tr>
      <w:tr>
        <w:tblPrEx>
          <w:tblCellMar>
            <w:top w:w="0" w:type="dxa"/>
            <w:left w:w="108" w:type="dxa"/>
            <w:bottom w:w="0" w:type="dxa"/>
            <w:right w:w="108" w:type="dxa"/>
          </w:tblCellMar>
        </w:tblPrEx>
        <w:trPr>
          <w:cantSplit/>
          <w:trHeight w:val="785" w:hRule="atLeast"/>
          <w:jc w:val="center"/>
        </w:trPr>
        <w:tc>
          <w:tcPr>
            <w:tcW w:w="2366"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合同履行期限</w:t>
            </w:r>
          </w:p>
        </w:tc>
        <w:tc>
          <w:tcPr>
            <w:tcW w:w="6120" w:type="dxa"/>
            <w:tcBorders>
              <w:top w:val="single" w:color="auto" w:sz="4" w:space="0"/>
              <w:left w:val="single" w:color="auto" w:sz="4" w:space="0"/>
              <w:bottom w:val="single" w:color="auto" w:sz="4" w:space="0"/>
              <w:right w:val="single" w:color="auto" w:sz="4" w:space="0"/>
            </w:tcBorders>
            <w:vAlign w:val="center"/>
          </w:tcPr>
          <w:p>
            <w:pPr>
              <w:ind w:left="1440" w:hanging="1440" w:hangingChars="600"/>
              <w:rPr>
                <w:rFonts w:ascii="宋体" w:hAnsi="宋体"/>
                <w:szCs w:val="21"/>
              </w:rPr>
            </w:pPr>
          </w:p>
        </w:tc>
      </w:tr>
      <w:tr>
        <w:tblPrEx>
          <w:tblCellMar>
            <w:top w:w="0" w:type="dxa"/>
            <w:left w:w="108" w:type="dxa"/>
            <w:bottom w:w="0" w:type="dxa"/>
            <w:right w:w="108" w:type="dxa"/>
          </w:tblCellMar>
        </w:tblPrEx>
        <w:trPr>
          <w:cantSplit/>
          <w:trHeight w:val="785" w:hRule="atLeast"/>
          <w:jc w:val="center"/>
        </w:trPr>
        <w:tc>
          <w:tcPr>
            <w:tcW w:w="2366"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质量保证期</w:t>
            </w:r>
          </w:p>
        </w:tc>
        <w:tc>
          <w:tcPr>
            <w:tcW w:w="6120" w:type="dxa"/>
            <w:tcBorders>
              <w:top w:val="single" w:color="auto" w:sz="4" w:space="0"/>
              <w:left w:val="single" w:color="auto" w:sz="4" w:space="0"/>
              <w:bottom w:val="single" w:color="auto" w:sz="4" w:space="0"/>
              <w:right w:val="single" w:color="auto" w:sz="4" w:space="0"/>
            </w:tcBorders>
            <w:vAlign w:val="center"/>
          </w:tcPr>
          <w:p>
            <w:pPr>
              <w:ind w:left="1440" w:hanging="1440" w:hangingChars="600"/>
              <w:rPr>
                <w:rFonts w:ascii="宋体" w:hAnsi="宋体"/>
                <w:szCs w:val="21"/>
              </w:rPr>
            </w:pPr>
          </w:p>
        </w:tc>
      </w:tr>
    </w:tbl>
    <w:p>
      <w:pPr>
        <w:pStyle w:val="13"/>
        <w:spacing w:line="360" w:lineRule="exact"/>
        <w:ind w:firstLine="210" w:firstLineChars="100"/>
        <w:rPr>
          <w:rFonts w:ascii="宋体" w:hAnsi="宋体" w:eastAsia="宋体"/>
          <w:sz w:val="21"/>
          <w:szCs w:val="21"/>
        </w:rPr>
      </w:pPr>
    </w:p>
    <w:p>
      <w:pPr>
        <w:pStyle w:val="13"/>
        <w:spacing w:line="600" w:lineRule="exact"/>
        <w:ind w:firstLine="210" w:firstLineChars="100"/>
        <w:rPr>
          <w:rFonts w:ascii="宋体" w:hAnsi="宋体" w:eastAsia="宋体"/>
          <w:sz w:val="21"/>
          <w:szCs w:val="21"/>
        </w:rPr>
      </w:pPr>
      <w:r>
        <w:rPr>
          <w:rFonts w:hint="eastAsia" w:ascii="宋体" w:hAnsi="宋体" w:eastAsia="宋体"/>
          <w:sz w:val="21"/>
          <w:szCs w:val="21"/>
        </w:rPr>
        <w:t>投标人名称（全称并加盖公章）：</w:t>
      </w:r>
    </w:p>
    <w:p>
      <w:pPr>
        <w:pStyle w:val="13"/>
        <w:spacing w:line="600" w:lineRule="exact"/>
        <w:ind w:firstLine="210" w:firstLineChars="100"/>
        <w:rPr>
          <w:rFonts w:ascii="宋体" w:hAnsi="宋体" w:eastAsia="宋体"/>
          <w:sz w:val="21"/>
          <w:szCs w:val="21"/>
        </w:rPr>
      </w:pPr>
      <w:r>
        <w:rPr>
          <w:rFonts w:hint="eastAsia" w:ascii="宋体" w:hAnsi="宋体" w:eastAsia="宋体"/>
          <w:sz w:val="21"/>
          <w:szCs w:val="21"/>
        </w:rPr>
        <w:t>法定代表人或其委托代理人（签字）：</w:t>
      </w:r>
    </w:p>
    <w:p>
      <w:pPr>
        <w:pStyle w:val="13"/>
        <w:spacing w:line="600" w:lineRule="exact"/>
        <w:ind w:firstLine="210" w:firstLineChars="100"/>
        <w:rPr>
          <w:rFonts w:ascii="宋体" w:hAnsi="宋体" w:eastAsia="宋体"/>
          <w:sz w:val="21"/>
          <w:szCs w:val="21"/>
        </w:rPr>
      </w:pPr>
    </w:p>
    <w:p>
      <w:pPr>
        <w:widowControl/>
        <w:spacing w:line="580" w:lineRule="atLeast"/>
        <w:rPr>
          <w:rFonts w:ascii="宋体" w:hAnsi="宋体"/>
          <w:szCs w:val="21"/>
        </w:rPr>
      </w:pPr>
      <w:r>
        <w:rPr>
          <w:rFonts w:hint="eastAsia" w:ascii="宋体" w:hAnsi="宋体"/>
          <w:szCs w:val="21"/>
        </w:rPr>
        <w:t xml:space="preserve">                                              年    月   日</w:t>
      </w:r>
    </w:p>
    <w:p>
      <w:pPr>
        <w:spacing w:line="360" w:lineRule="auto"/>
        <w:jc w:val="center"/>
        <w:rPr>
          <w:rFonts w:ascii="宋体" w:hAnsi="宋体"/>
          <w:b/>
          <w:bCs/>
          <w:sz w:val="32"/>
          <w:szCs w:val="32"/>
        </w:rPr>
      </w:pPr>
    </w:p>
    <w:p>
      <w:pPr>
        <w:spacing w:line="360" w:lineRule="auto"/>
        <w:jc w:val="center"/>
        <w:rPr>
          <w:rFonts w:ascii="宋体" w:hAnsi="宋体"/>
          <w:b/>
          <w:bCs/>
          <w:sz w:val="32"/>
          <w:szCs w:val="32"/>
        </w:rPr>
      </w:pPr>
    </w:p>
    <w:p>
      <w:pPr>
        <w:spacing w:line="360" w:lineRule="auto"/>
        <w:jc w:val="center"/>
        <w:rPr>
          <w:rFonts w:ascii="宋体" w:hAnsi="宋体"/>
          <w:b/>
          <w:bCs/>
          <w:sz w:val="32"/>
          <w:szCs w:val="32"/>
        </w:rPr>
      </w:pPr>
    </w:p>
    <w:p>
      <w:pPr>
        <w:spacing w:line="360" w:lineRule="auto"/>
        <w:jc w:val="center"/>
        <w:rPr>
          <w:rFonts w:ascii="宋体" w:hAnsi="宋体"/>
          <w:b/>
          <w:bCs/>
          <w:sz w:val="32"/>
          <w:szCs w:val="32"/>
        </w:rPr>
      </w:pPr>
    </w:p>
    <w:p>
      <w:pPr>
        <w:spacing w:line="360" w:lineRule="auto"/>
        <w:jc w:val="center"/>
        <w:rPr>
          <w:rFonts w:ascii="宋体" w:hAnsi="宋体"/>
          <w:b/>
          <w:bCs/>
          <w:sz w:val="32"/>
          <w:szCs w:val="32"/>
        </w:rPr>
      </w:pPr>
    </w:p>
    <w:p>
      <w:pPr>
        <w:spacing w:line="360" w:lineRule="auto"/>
        <w:jc w:val="center"/>
        <w:rPr>
          <w:rFonts w:ascii="宋体" w:hAnsi="宋体"/>
          <w:b/>
          <w:bCs/>
          <w:sz w:val="32"/>
          <w:szCs w:val="32"/>
        </w:rPr>
      </w:pPr>
    </w:p>
    <w:p>
      <w:pPr>
        <w:numPr>
          <w:ilvl w:val="3"/>
          <w:numId w:val="48"/>
        </w:numPr>
        <w:spacing w:line="360" w:lineRule="auto"/>
        <w:jc w:val="center"/>
        <w:rPr>
          <w:rFonts w:ascii="宋体" w:hAnsi="宋体"/>
          <w:b/>
          <w:bCs/>
          <w:sz w:val="32"/>
          <w:szCs w:val="32"/>
        </w:rPr>
      </w:pPr>
      <w:r>
        <w:rPr>
          <w:rFonts w:hint="eastAsia" w:ascii="宋体" w:hAnsi="宋体"/>
          <w:b/>
          <w:bCs/>
          <w:sz w:val="32"/>
          <w:szCs w:val="32"/>
        </w:rPr>
        <w:t>报价明细表</w:t>
      </w:r>
    </w:p>
    <w:p>
      <w:pPr>
        <w:spacing w:line="360" w:lineRule="auto"/>
        <w:rPr>
          <w:rFonts w:ascii="宋体" w:hAnsi="宋体"/>
          <w:szCs w:val="21"/>
        </w:rPr>
      </w:pPr>
    </w:p>
    <w:p>
      <w:pPr>
        <w:spacing w:line="360" w:lineRule="auto"/>
        <w:rPr>
          <w:rFonts w:ascii="宋体" w:hAnsi="宋体"/>
          <w:szCs w:val="21"/>
        </w:rPr>
      </w:pPr>
      <w:r>
        <w:rPr>
          <w:rFonts w:hint="eastAsia" w:ascii="宋体" w:hAnsi="宋体"/>
          <w:szCs w:val="21"/>
        </w:rPr>
        <w:t>项目名称：                                                交易编号：</w:t>
      </w:r>
    </w:p>
    <w:tbl>
      <w:tblPr>
        <w:tblStyle w:val="3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6"/>
        <w:gridCol w:w="927"/>
        <w:gridCol w:w="1040"/>
        <w:gridCol w:w="1211"/>
        <w:gridCol w:w="1078"/>
        <w:gridCol w:w="908"/>
        <w:gridCol w:w="984"/>
        <w:gridCol w:w="1059"/>
        <w:gridCol w:w="10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exact"/>
          <w:jc w:val="center"/>
        </w:trPr>
        <w:tc>
          <w:tcPr>
            <w:tcW w:w="756" w:type="dxa"/>
            <w:vAlign w:val="center"/>
          </w:tcPr>
          <w:p>
            <w:pPr>
              <w:spacing w:line="240" w:lineRule="atLeast"/>
              <w:jc w:val="center"/>
              <w:rPr>
                <w:rFonts w:ascii="宋体" w:hAnsi="宋体"/>
                <w:szCs w:val="21"/>
              </w:rPr>
            </w:pPr>
            <w:r>
              <w:rPr>
                <w:rFonts w:hint="eastAsia" w:ascii="宋体" w:hAnsi="宋体"/>
                <w:szCs w:val="21"/>
              </w:rPr>
              <w:t>序号</w:t>
            </w:r>
          </w:p>
        </w:tc>
        <w:tc>
          <w:tcPr>
            <w:tcW w:w="927" w:type="dxa"/>
            <w:vAlign w:val="center"/>
          </w:tcPr>
          <w:p>
            <w:pPr>
              <w:spacing w:line="240" w:lineRule="atLeast"/>
              <w:jc w:val="center"/>
              <w:rPr>
                <w:rFonts w:ascii="宋体" w:hAnsi="宋体"/>
                <w:szCs w:val="21"/>
              </w:rPr>
            </w:pPr>
            <w:r>
              <w:rPr>
                <w:rFonts w:hint="eastAsia" w:ascii="宋体" w:hAnsi="宋体"/>
                <w:szCs w:val="21"/>
              </w:rPr>
              <w:t>货物</w:t>
            </w:r>
          </w:p>
          <w:p>
            <w:pPr>
              <w:spacing w:line="240" w:lineRule="atLeast"/>
              <w:jc w:val="center"/>
              <w:rPr>
                <w:rFonts w:ascii="宋体" w:hAnsi="宋体"/>
                <w:szCs w:val="21"/>
              </w:rPr>
            </w:pPr>
            <w:r>
              <w:rPr>
                <w:rFonts w:hint="eastAsia" w:ascii="宋体" w:hAnsi="宋体"/>
                <w:szCs w:val="21"/>
              </w:rPr>
              <w:t>名称</w:t>
            </w:r>
          </w:p>
        </w:tc>
        <w:tc>
          <w:tcPr>
            <w:tcW w:w="1040" w:type="dxa"/>
            <w:vAlign w:val="center"/>
          </w:tcPr>
          <w:p>
            <w:pPr>
              <w:spacing w:line="240" w:lineRule="atLeast"/>
              <w:jc w:val="center"/>
              <w:rPr>
                <w:rFonts w:ascii="宋体" w:hAnsi="宋体"/>
                <w:szCs w:val="21"/>
              </w:rPr>
            </w:pPr>
          </w:p>
          <w:p>
            <w:pPr>
              <w:spacing w:line="240" w:lineRule="atLeast"/>
              <w:jc w:val="center"/>
              <w:rPr>
                <w:rFonts w:ascii="宋体" w:hAnsi="宋体"/>
                <w:szCs w:val="21"/>
              </w:rPr>
            </w:pPr>
            <w:r>
              <w:rPr>
                <w:rFonts w:hint="eastAsia" w:ascii="宋体" w:hAnsi="宋体"/>
                <w:szCs w:val="21"/>
              </w:rPr>
              <w:t>品牌</w:t>
            </w:r>
          </w:p>
          <w:p>
            <w:pPr>
              <w:spacing w:line="240" w:lineRule="atLeast"/>
              <w:jc w:val="center"/>
              <w:rPr>
                <w:rFonts w:ascii="宋体" w:hAnsi="宋体"/>
                <w:szCs w:val="21"/>
              </w:rPr>
            </w:pPr>
          </w:p>
        </w:tc>
        <w:tc>
          <w:tcPr>
            <w:tcW w:w="1211" w:type="dxa"/>
            <w:vAlign w:val="center"/>
          </w:tcPr>
          <w:p>
            <w:pPr>
              <w:spacing w:line="240" w:lineRule="atLeast"/>
              <w:jc w:val="center"/>
              <w:rPr>
                <w:rFonts w:ascii="宋体" w:hAnsi="宋体"/>
                <w:szCs w:val="21"/>
              </w:rPr>
            </w:pPr>
            <w:r>
              <w:rPr>
                <w:rFonts w:hint="eastAsia" w:ascii="宋体" w:hAnsi="宋体"/>
                <w:szCs w:val="21"/>
              </w:rPr>
              <w:t>规格</w:t>
            </w:r>
          </w:p>
          <w:p>
            <w:pPr>
              <w:spacing w:line="240" w:lineRule="atLeast"/>
              <w:jc w:val="center"/>
              <w:rPr>
                <w:rFonts w:ascii="宋体" w:hAnsi="宋体"/>
                <w:szCs w:val="21"/>
              </w:rPr>
            </w:pPr>
            <w:r>
              <w:rPr>
                <w:rFonts w:hint="eastAsia" w:ascii="宋体" w:hAnsi="宋体"/>
                <w:szCs w:val="21"/>
              </w:rPr>
              <w:t>型号</w:t>
            </w:r>
          </w:p>
        </w:tc>
        <w:tc>
          <w:tcPr>
            <w:tcW w:w="1078" w:type="dxa"/>
            <w:vAlign w:val="center"/>
          </w:tcPr>
          <w:p>
            <w:pPr>
              <w:spacing w:line="240" w:lineRule="atLeast"/>
              <w:jc w:val="center"/>
              <w:rPr>
                <w:rFonts w:ascii="宋体" w:hAnsi="宋体"/>
                <w:szCs w:val="21"/>
              </w:rPr>
            </w:pPr>
            <w:r>
              <w:rPr>
                <w:rFonts w:hint="eastAsia" w:ascii="宋体" w:hAnsi="宋体"/>
                <w:szCs w:val="21"/>
              </w:rPr>
              <w:t>制造企业名称</w:t>
            </w:r>
          </w:p>
        </w:tc>
        <w:tc>
          <w:tcPr>
            <w:tcW w:w="908" w:type="dxa"/>
            <w:vAlign w:val="center"/>
          </w:tcPr>
          <w:p>
            <w:pPr>
              <w:spacing w:line="240" w:lineRule="atLeast"/>
              <w:jc w:val="center"/>
              <w:rPr>
                <w:rFonts w:ascii="宋体" w:hAnsi="宋体"/>
                <w:szCs w:val="21"/>
              </w:rPr>
            </w:pPr>
            <w:r>
              <w:rPr>
                <w:rFonts w:hint="eastAsia" w:ascii="宋体" w:hAnsi="宋体"/>
                <w:szCs w:val="21"/>
              </w:rPr>
              <w:t>原产地</w:t>
            </w:r>
          </w:p>
        </w:tc>
        <w:tc>
          <w:tcPr>
            <w:tcW w:w="984" w:type="dxa"/>
            <w:vAlign w:val="center"/>
          </w:tcPr>
          <w:p>
            <w:pPr>
              <w:spacing w:line="240" w:lineRule="atLeast"/>
              <w:jc w:val="center"/>
              <w:rPr>
                <w:rFonts w:ascii="宋体" w:hAnsi="宋体"/>
                <w:szCs w:val="21"/>
              </w:rPr>
            </w:pPr>
            <w:r>
              <w:rPr>
                <w:rFonts w:hint="eastAsia" w:ascii="宋体" w:hAnsi="宋体"/>
                <w:szCs w:val="21"/>
              </w:rPr>
              <w:t>数量</w:t>
            </w:r>
          </w:p>
        </w:tc>
        <w:tc>
          <w:tcPr>
            <w:tcW w:w="1059" w:type="dxa"/>
            <w:vAlign w:val="center"/>
          </w:tcPr>
          <w:p>
            <w:pPr>
              <w:spacing w:line="240" w:lineRule="atLeast"/>
              <w:jc w:val="center"/>
              <w:rPr>
                <w:rFonts w:ascii="宋体" w:hAnsi="宋体"/>
                <w:szCs w:val="21"/>
              </w:rPr>
            </w:pPr>
            <w:r>
              <w:rPr>
                <w:rFonts w:hint="eastAsia" w:ascii="宋体" w:hAnsi="宋体"/>
                <w:szCs w:val="21"/>
              </w:rPr>
              <w:t>单价</w:t>
            </w:r>
          </w:p>
        </w:tc>
        <w:tc>
          <w:tcPr>
            <w:tcW w:w="1059" w:type="dxa"/>
            <w:vAlign w:val="center"/>
          </w:tcPr>
          <w:p>
            <w:pPr>
              <w:spacing w:line="240" w:lineRule="atLeast"/>
              <w:jc w:val="center"/>
              <w:rPr>
                <w:rFonts w:ascii="宋体" w:hAnsi="宋体"/>
                <w:szCs w:val="21"/>
              </w:rPr>
            </w:pPr>
            <w:r>
              <w:rPr>
                <w:rFonts w:hint="eastAsia" w:ascii="宋体" w:hAnsi="宋体"/>
                <w:szCs w:val="21"/>
              </w:rPr>
              <w:t>总价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exact"/>
          <w:jc w:val="center"/>
        </w:trPr>
        <w:tc>
          <w:tcPr>
            <w:tcW w:w="756" w:type="dxa"/>
            <w:vAlign w:val="center"/>
          </w:tcPr>
          <w:p>
            <w:pPr>
              <w:spacing w:line="360" w:lineRule="auto"/>
              <w:jc w:val="center"/>
              <w:rPr>
                <w:rFonts w:ascii="宋体" w:hAnsi="宋体"/>
                <w:szCs w:val="21"/>
              </w:rPr>
            </w:pPr>
            <w:r>
              <w:rPr>
                <w:rFonts w:hint="eastAsia" w:ascii="宋体" w:hAnsi="宋体"/>
                <w:szCs w:val="21"/>
              </w:rPr>
              <w:t>1</w:t>
            </w:r>
          </w:p>
        </w:tc>
        <w:tc>
          <w:tcPr>
            <w:tcW w:w="927" w:type="dxa"/>
            <w:vAlign w:val="center"/>
          </w:tcPr>
          <w:p>
            <w:pPr>
              <w:jc w:val="center"/>
              <w:rPr>
                <w:rFonts w:ascii="宋体" w:hAnsi="宋体"/>
                <w:szCs w:val="21"/>
              </w:rPr>
            </w:pPr>
            <w:r>
              <w:rPr>
                <w:rFonts w:hint="eastAsia" w:ascii="宋体" w:hAnsi="宋体"/>
                <w:sz w:val="20"/>
                <w:szCs w:val="16"/>
              </w:rPr>
              <w:t>洁净工作</w:t>
            </w:r>
            <w:r>
              <w:rPr>
                <w:rFonts w:hint="eastAsia" w:ascii="宋体" w:hAnsi="宋体"/>
                <w:sz w:val="21"/>
                <w:szCs w:val="18"/>
              </w:rPr>
              <w:t>台</w:t>
            </w:r>
          </w:p>
        </w:tc>
        <w:tc>
          <w:tcPr>
            <w:tcW w:w="1040" w:type="dxa"/>
            <w:vAlign w:val="center"/>
          </w:tcPr>
          <w:p>
            <w:pPr>
              <w:spacing w:line="360" w:lineRule="auto"/>
              <w:jc w:val="center"/>
              <w:rPr>
                <w:rFonts w:ascii="宋体" w:hAnsi="宋体"/>
                <w:szCs w:val="21"/>
              </w:rPr>
            </w:pPr>
          </w:p>
        </w:tc>
        <w:tc>
          <w:tcPr>
            <w:tcW w:w="1211" w:type="dxa"/>
            <w:vAlign w:val="center"/>
          </w:tcPr>
          <w:p>
            <w:pPr>
              <w:jc w:val="center"/>
              <w:rPr>
                <w:rFonts w:ascii="宋体" w:hAnsi="宋体"/>
                <w:sz w:val="22"/>
                <w:szCs w:val="20"/>
              </w:rPr>
            </w:pPr>
          </w:p>
        </w:tc>
        <w:tc>
          <w:tcPr>
            <w:tcW w:w="1078" w:type="dxa"/>
            <w:vAlign w:val="center"/>
          </w:tcPr>
          <w:p>
            <w:pPr>
              <w:spacing w:line="360" w:lineRule="auto"/>
              <w:jc w:val="center"/>
              <w:rPr>
                <w:rFonts w:ascii="宋体" w:hAnsi="宋体"/>
                <w:szCs w:val="21"/>
              </w:rPr>
            </w:pPr>
          </w:p>
        </w:tc>
        <w:tc>
          <w:tcPr>
            <w:tcW w:w="908" w:type="dxa"/>
            <w:vAlign w:val="center"/>
          </w:tcPr>
          <w:p>
            <w:pPr>
              <w:spacing w:line="360" w:lineRule="auto"/>
              <w:jc w:val="center"/>
              <w:rPr>
                <w:rFonts w:ascii="宋体" w:hAnsi="宋体"/>
                <w:szCs w:val="21"/>
              </w:rPr>
            </w:pPr>
          </w:p>
        </w:tc>
        <w:tc>
          <w:tcPr>
            <w:tcW w:w="984" w:type="dxa"/>
            <w:vAlign w:val="center"/>
          </w:tcPr>
          <w:p>
            <w:pPr>
              <w:spacing w:line="360" w:lineRule="auto"/>
              <w:jc w:val="center"/>
              <w:rPr>
                <w:rFonts w:ascii="宋体" w:hAnsi="宋体"/>
                <w:szCs w:val="21"/>
              </w:rPr>
            </w:pPr>
          </w:p>
        </w:tc>
        <w:tc>
          <w:tcPr>
            <w:tcW w:w="1059" w:type="dxa"/>
            <w:vAlign w:val="center"/>
          </w:tcPr>
          <w:p>
            <w:pPr>
              <w:spacing w:line="360" w:lineRule="auto"/>
              <w:jc w:val="center"/>
              <w:rPr>
                <w:rFonts w:ascii="宋体" w:hAnsi="宋体"/>
                <w:szCs w:val="21"/>
              </w:rPr>
            </w:pPr>
          </w:p>
        </w:tc>
        <w:tc>
          <w:tcPr>
            <w:tcW w:w="1059" w:type="dxa"/>
            <w:vAlign w:val="center"/>
          </w:tcPr>
          <w:p>
            <w:pPr>
              <w:spacing w:line="360"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exact"/>
          <w:jc w:val="center"/>
        </w:trPr>
        <w:tc>
          <w:tcPr>
            <w:tcW w:w="756" w:type="dxa"/>
            <w:vAlign w:val="center"/>
          </w:tcPr>
          <w:p>
            <w:pPr>
              <w:spacing w:line="360" w:lineRule="auto"/>
              <w:jc w:val="center"/>
              <w:rPr>
                <w:rFonts w:ascii="宋体" w:hAnsi="宋体"/>
                <w:szCs w:val="21"/>
              </w:rPr>
            </w:pPr>
            <w:r>
              <w:rPr>
                <w:rFonts w:hint="eastAsia" w:ascii="宋体" w:hAnsi="宋体"/>
                <w:szCs w:val="21"/>
              </w:rPr>
              <w:t>2</w:t>
            </w:r>
          </w:p>
        </w:tc>
        <w:tc>
          <w:tcPr>
            <w:tcW w:w="927" w:type="dxa"/>
            <w:vAlign w:val="center"/>
          </w:tcPr>
          <w:p>
            <w:pPr>
              <w:jc w:val="center"/>
              <w:rPr>
                <w:rFonts w:ascii="宋体" w:hAnsi="宋体"/>
                <w:szCs w:val="21"/>
              </w:rPr>
            </w:pPr>
            <w:r>
              <w:rPr>
                <w:rFonts w:hint="eastAsia" w:ascii="宋体" w:hAnsi="宋体"/>
                <w:color w:val="000000"/>
                <w:kern w:val="0"/>
                <w:sz w:val="18"/>
                <w:szCs w:val="18"/>
              </w:rPr>
              <w:t>涡旋振荡器</w:t>
            </w:r>
          </w:p>
        </w:tc>
        <w:tc>
          <w:tcPr>
            <w:tcW w:w="1040" w:type="dxa"/>
            <w:vAlign w:val="center"/>
          </w:tcPr>
          <w:p>
            <w:pPr>
              <w:spacing w:line="360" w:lineRule="auto"/>
              <w:jc w:val="center"/>
              <w:rPr>
                <w:rFonts w:ascii="宋体" w:hAnsi="宋体"/>
                <w:szCs w:val="21"/>
              </w:rPr>
            </w:pPr>
          </w:p>
        </w:tc>
        <w:tc>
          <w:tcPr>
            <w:tcW w:w="1211" w:type="dxa"/>
            <w:vAlign w:val="center"/>
          </w:tcPr>
          <w:p>
            <w:pPr>
              <w:spacing w:line="360" w:lineRule="auto"/>
              <w:jc w:val="center"/>
              <w:rPr>
                <w:rFonts w:ascii="宋体" w:hAnsi="宋体"/>
                <w:szCs w:val="21"/>
              </w:rPr>
            </w:pPr>
          </w:p>
        </w:tc>
        <w:tc>
          <w:tcPr>
            <w:tcW w:w="1078" w:type="dxa"/>
            <w:vAlign w:val="center"/>
          </w:tcPr>
          <w:p>
            <w:pPr>
              <w:spacing w:line="360" w:lineRule="auto"/>
              <w:jc w:val="center"/>
              <w:rPr>
                <w:rFonts w:ascii="宋体" w:hAnsi="宋体"/>
                <w:szCs w:val="21"/>
              </w:rPr>
            </w:pPr>
          </w:p>
        </w:tc>
        <w:tc>
          <w:tcPr>
            <w:tcW w:w="908" w:type="dxa"/>
            <w:vAlign w:val="center"/>
          </w:tcPr>
          <w:p>
            <w:pPr>
              <w:spacing w:line="360" w:lineRule="auto"/>
              <w:jc w:val="center"/>
              <w:rPr>
                <w:rFonts w:ascii="宋体" w:hAnsi="宋体"/>
                <w:szCs w:val="21"/>
              </w:rPr>
            </w:pPr>
          </w:p>
        </w:tc>
        <w:tc>
          <w:tcPr>
            <w:tcW w:w="984" w:type="dxa"/>
            <w:vAlign w:val="center"/>
          </w:tcPr>
          <w:p>
            <w:pPr>
              <w:spacing w:line="360" w:lineRule="auto"/>
              <w:jc w:val="center"/>
              <w:rPr>
                <w:rFonts w:ascii="宋体" w:hAnsi="宋体"/>
                <w:szCs w:val="21"/>
              </w:rPr>
            </w:pPr>
          </w:p>
        </w:tc>
        <w:tc>
          <w:tcPr>
            <w:tcW w:w="1059" w:type="dxa"/>
            <w:vAlign w:val="center"/>
          </w:tcPr>
          <w:p>
            <w:pPr>
              <w:spacing w:line="360" w:lineRule="auto"/>
              <w:jc w:val="center"/>
              <w:rPr>
                <w:rFonts w:ascii="宋体" w:hAnsi="宋体"/>
                <w:szCs w:val="21"/>
              </w:rPr>
            </w:pPr>
          </w:p>
        </w:tc>
        <w:tc>
          <w:tcPr>
            <w:tcW w:w="1059" w:type="dxa"/>
            <w:vAlign w:val="center"/>
          </w:tcPr>
          <w:p>
            <w:pPr>
              <w:spacing w:line="360"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9" w:hRule="exact"/>
          <w:jc w:val="center"/>
        </w:trPr>
        <w:tc>
          <w:tcPr>
            <w:tcW w:w="756" w:type="dxa"/>
            <w:vAlign w:val="center"/>
          </w:tcPr>
          <w:p>
            <w:pPr>
              <w:spacing w:line="360" w:lineRule="auto"/>
              <w:jc w:val="center"/>
              <w:rPr>
                <w:rFonts w:ascii="宋体" w:hAnsi="宋体"/>
                <w:szCs w:val="21"/>
              </w:rPr>
            </w:pPr>
            <w:r>
              <w:rPr>
                <w:rFonts w:hint="eastAsia" w:ascii="宋体" w:hAnsi="宋体"/>
                <w:szCs w:val="21"/>
              </w:rPr>
              <w:t>3</w:t>
            </w:r>
          </w:p>
        </w:tc>
        <w:tc>
          <w:tcPr>
            <w:tcW w:w="927" w:type="dxa"/>
            <w:vAlign w:val="center"/>
          </w:tcPr>
          <w:p>
            <w:pPr>
              <w:jc w:val="center"/>
              <w:rPr>
                <w:rFonts w:ascii="宋体" w:hAnsi="宋体"/>
                <w:szCs w:val="21"/>
              </w:rPr>
            </w:pPr>
            <w:r>
              <w:rPr>
                <w:rFonts w:hint="eastAsia" w:ascii="宋体" w:hAnsi="宋体"/>
                <w:color w:val="000000"/>
                <w:kern w:val="0"/>
                <w:sz w:val="18"/>
                <w:szCs w:val="18"/>
              </w:rPr>
              <w:t>可移动紫外消毒车</w:t>
            </w:r>
          </w:p>
        </w:tc>
        <w:tc>
          <w:tcPr>
            <w:tcW w:w="1040" w:type="dxa"/>
            <w:vAlign w:val="center"/>
          </w:tcPr>
          <w:p>
            <w:pPr>
              <w:spacing w:line="360" w:lineRule="auto"/>
              <w:jc w:val="center"/>
              <w:rPr>
                <w:rFonts w:ascii="宋体" w:hAnsi="宋体"/>
                <w:szCs w:val="21"/>
              </w:rPr>
            </w:pPr>
          </w:p>
        </w:tc>
        <w:tc>
          <w:tcPr>
            <w:tcW w:w="1211" w:type="dxa"/>
            <w:vAlign w:val="center"/>
          </w:tcPr>
          <w:p>
            <w:pPr>
              <w:spacing w:line="360" w:lineRule="auto"/>
              <w:jc w:val="center"/>
              <w:rPr>
                <w:rFonts w:ascii="宋体" w:hAnsi="宋体"/>
                <w:szCs w:val="21"/>
              </w:rPr>
            </w:pPr>
          </w:p>
        </w:tc>
        <w:tc>
          <w:tcPr>
            <w:tcW w:w="1078" w:type="dxa"/>
            <w:vAlign w:val="center"/>
          </w:tcPr>
          <w:p>
            <w:pPr>
              <w:spacing w:line="360" w:lineRule="auto"/>
              <w:jc w:val="center"/>
              <w:rPr>
                <w:rFonts w:ascii="宋体" w:hAnsi="宋体"/>
                <w:szCs w:val="21"/>
              </w:rPr>
            </w:pPr>
          </w:p>
        </w:tc>
        <w:tc>
          <w:tcPr>
            <w:tcW w:w="908" w:type="dxa"/>
            <w:vAlign w:val="center"/>
          </w:tcPr>
          <w:p>
            <w:pPr>
              <w:spacing w:line="360" w:lineRule="auto"/>
              <w:jc w:val="center"/>
              <w:rPr>
                <w:rFonts w:ascii="宋体" w:hAnsi="宋体"/>
                <w:szCs w:val="21"/>
              </w:rPr>
            </w:pPr>
          </w:p>
        </w:tc>
        <w:tc>
          <w:tcPr>
            <w:tcW w:w="984" w:type="dxa"/>
            <w:vAlign w:val="center"/>
          </w:tcPr>
          <w:p>
            <w:pPr>
              <w:spacing w:line="360" w:lineRule="auto"/>
              <w:jc w:val="center"/>
              <w:rPr>
                <w:rFonts w:ascii="宋体" w:hAnsi="宋体"/>
                <w:szCs w:val="21"/>
              </w:rPr>
            </w:pPr>
          </w:p>
        </w:tc>
        <w:tc>
          <w:tcPr>
            <w:tcW w:w="1059" w:type="dxa"/>
            <w:vAlign w:val="center"/>
          </w:tcPr>
          <w:p>
            <w:pPr>
              <w:spacing w:line="360" w:lineRule="auto"/>
              <w:jc w:val="center"/>
              <w:rPr>
                <w:rFonts w:ascii="宋体" w:hAnsi="宋体"/>
                <w:szCs w:val="21"/>
              </w:rPr>
            </w:pPr>
          </w:p>
        </w:tc>
        <w:tc>
          <w:tcPr>
            <w:tcW w:w="1059" w:type="dxa"/>
            <w:vAlign w:val="center"/>
          </w:tcPr>
          <w:p>
            <w:pPr>
              <w:spacing w:line="360"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exact"/>
          <w:jc w:val="center"/>
        </w:trPr>
        <w:tc>
          <w:tcPr>
            <w:tcW w:w="756" w:type="dxa"/>
            <w:vAlign w:val="center"/>
          </w:tcPr>
          <w:p>
            <w:pPr>
              <w:spacing w:line="360" w:lineRule="auto"/>
              <w:jc w:val="center"/>
              <w:rPr>
                <w:rFonts w:ascii="宋体" w:hAnsi="宋体"/>
                <w:szCs w:val="21"/>
              </w:rPr>
            </w:pPr>
            <w:r>
              <w:rPr>
                <w:rFonts w:hint="eastAsia" w:ascii="宋体" w:hAnsi="宋体"/>
                <w:szCs w:val="21"/>
              </w:rPr>
              <w:t>4</w:t>
            </w:r>
          </w:p>
        </w:tc>
        <w:tc>
          <w:tcPr>
            <w:tcW w:w="927" w:type="dxa"/>
            <w:vAlign w:val="center"/>
          </w:tcPr>
          <w:p>
            <w:pPr>
              <w:jc w:val="center"/>
              <w:rPr>
                <w:rFonts w:ascii="宋体" w:hAnsi="宋体"/>
                <w:szCs w:val="21"/>
              </w:rPr>
            </w:pPr>
            <w:r>
              <w:rPr>
                <w:rFonts w:hint="eastAsia" w:ascii="宋体" w:hAnsi="宋体"/>
                <w:color w:val="000000"/>
                <w:kern w:val="0"/>
                <w:sz w:val="18"/>
                <w:szCs w:val="18"/>
              </w:rPr>
              <w:t>医用冰箱</w:t>
            </w:r>
          </w:p>
        </w:tc>
        <w:tc>
          <w:tcPr>
            <w:tcW w:w="1040" w:type="dxa"/>
            <w:vAlign w:val="center"/>
          </w:tcPr>
          <w:p>
            <w:pPr>
              <w:spacing w:line="360" w:lineRule="auto"/>
              <w:jc w:val="center"/>
              <w:rPr>
                <w:rFonts w:ascii="宋体" w:hAnsi="宋体"/>
                <w:szCs w:val="21"/>
              </w:rPr>
            </w:pPr>
          </w:p>
        </w:tc>
        <w:tc>
          <w:tcPr>
            <w:tcW w:w="1211" w:type="dxa"/>
            <w:vAlign w:val="center"/>
          </w:tcPr>
          <w:p>
            <w:pPr>
              <w:spacing w:line="360" w:lineRule="auto"/>
              <w:jc w:val="center"/>
              <w:rPr>
                <w:rFonts w:ascii="宋体" w:hAnsi="宋体"/>
                <w:szCs w:val="21"/>
              </w:rPr>
            </w:pPr>
          </w:p>
        </w:tc>
        <w:tc>
          <w:tcPr>
            <w:tcW w:w="1078" w:type="dxa"/>
            <w:vAlign w:val="center"/>
          </w:tcPr>
          <w:p>
            <w:pPr>
              <w:spacing w:line="360" w:lineRule="auto"/>
              <w:jc w:val="center"/>
              <w:rPr>
                <w:rFonts w:ascii="宋体" w:hAnsi="宋体"/>
                <w:szCs w:val="21"/>
              </w:rPr>
            </w:pPr>
          </w:p>
        </w:tc>
        <w:tc>
          <w:tcPr>
            <w:tcW w:w="908" w:type="dxa"/>
            <w:vAlign w:val="center"/>
          </w:tcPr>
          <w:p>
            <w:pPr>
              <w:spacing w:line="360" w:lineRule="auto"/>
              <w:jc w:val="center"/>
              <w:rPr>
                <w:rFonts w:ascii="宋体" w:hAnsi="宋体"/>
                <w:szCs w:val="21"/>
              </w:rPr>
            </w:pPr>
          </w:p>
        </w:tc>
        <w:tc>
          <w:tcPr>
            <w:tcW w:w="984" w:type="dxa"/>
            <w:vAlign w:val="center"/>
          </w:tcPr>
          <w:p>
            <w:pPr>
              <w:spacing w:line="360" w:lineRule="auto"/>
              <w:jc w:val="center"/>
              <w:rPr>
                <w:rFonts w:ascii="宋体" w:hAnsi="宋体"/>
                <w:szCs w:val="21"/>
              </w:rPr>
            </w:pPr>
          </w:p>
        </w:tc>
        <w:tc>
          <w:tcPr>
            <w:tcW w:w="1059" w:type="dxa"/>
            <w:vAlign w:val="center"/>
          </w:tcPr>
          <w:p>
            <w:pPr>
              <w:spacing w:line="360" w:lineRule="auto"/>
              <w:jc w:val="center"/>
              <w:rPr>
                <w:rFonts w:ascii="宋体" w:hAnsi="宋体"/>
                <w:szCs w:val="21"/>
              </w:rPr>
            </w:pPr>
          </w:p>
        </w:tc>
        <w:tc>
          <w:tcPr>
            <w:tcW w:w="1059" w:type="dxa"/>
            <w:vAlign w:val="center"/>
          </w:tcPr>
          <w:p>
            <w:pPr>
              <w:spacing w:line="360"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2" w:hRule="exact"/>
          <w:jc w:val="center"/>
        </w:trPr>
        <w:tc>
          <w:tcPr>
            <w:tcW w:w="756" w:type="dxa"/>
            <w:vAlign w:val="center"/>
          </w:tcPr>
          <w:p>
            <w:pPr>
              <w:spacing w:line="360" w:lineRule="auto"/>
              <w:jc w:val="center"/>
              <w:rPr>
                <w:rFonts w:ascii="宋体" w:hAnsi="宋体"/>
                <w:szCs w:val="21"/>
              </w:rPr>
            </w:pPr>
            <w:r>
              <w:rPr>
                <w:rFonts w:hint="eastAsia" w:ascii="宋体" w:hAnsi="宋体"/>
                <w:szCs w:val="21"/>
              </w:rPr>
              <w:t>5</w:t>
            </w:r>
          </w:p>
        </w:tc>
        <w:tc>
          <w:tcPr>
            <w:tcW w:w="927" w:type="dxa"/>
            <w:vAlign w:val="center"/>
          </w:tcPr>
          <w:p>
            <w:pPr>
              <w:jc w:val="center"/>
              <w:rPr>
                <w:rFonts w:ascii="宋体" w:hAnsi="宋体"/>
                <w:szCs w:val="21"/>
              </w:rPr>
            </w:pPr>
            <w:r>
              <w:rPr>
                <w:rFonts w:hint="eastAsia" w:ascii="宋体" w:hAnsi="宋体"/>
                <w:color w:val="000000"/>
                <w:kern w:val="0"/>
                <w:sz w:val="18"/>
                <w:szCs w:val="18"/>
              </w:rPr>
              <w:t>生物安全型高压灭菌器</w:t>
            </w:r>
          </w:p>
        </w:tc>
        <w:tc>
          <w:tcPr>
            <w:tcW w:w="1040" w:type="dxa"/>
            <w:vAlign w:val="center"/>
          </w:tcPr>
          <w:p>
            <w:pPr>
              <w:spacing w:line="360" w:lineRule="auto"/>
              <w:jc w:val="center"/>
              <w:rPr>
                <w:rFonts w:ascii="宋体" w:hAnsi="宋体"/>
                <w:szCs w:val="21"/>
              </w:rPr>
            </w:pPr>
          </w:p>
        </w:tc>
        <w:tc>
          <w:tcPr>
            <w:tcW w:w="1211" w:type="dxa"/>
            <w:vAlign w:val="center"/>
          </w:tcPr>
          <w:p>
            <w:pPr>
              <w:spacing w:line="360" w:lineRule="auto"/>
              <w:jc w:val="center"/>
              <w:rPr>
                <w:rFonts w:ascii="宋体" w:hAnsi="宋体"/>
                <w:szCs w:val="21"/>
              </w:rPr>
            </w:pPr>
          </w:p>
        </w:tc>
        <w:tc>
          <w:tcPr>
            <w:tcW w:w="1078" w:type="dxa"/>
            <w:vAlign w:val="center"/>
          </w:tcPr>
          <w:p>
            <w:pPr>
              <w:spacing w:line="360" w:lineRule="auto"/>
              <w:jc w:val="center"/>
              <w:rPr>
                <w:rFonts w:ascii="宋体" w:hAnsi="宋体"/>
                <w:szCs w:val="21"/>
              </w:rPr>
            </w:pPr>
          </w:p>
        </w:tc>
        <w:tc>
          <w:tcPr>
            <w:tcW w:w="908" w:type="dxa"/>
            <w:vAlign w:val="center"/>
          </w:tcPr>
          <w:p>
            <w:pPr>
              <w:spacing w:line="360" w:lineRule="auto"/>
              <w:jc w:val="center"/>
              <w:rPr>
                <w:rFonts w:ascii="宋体" w:hAnsi="宋体"/>
                <w:szCs w:val="21"/>
              </w:rPr>
            </w:pPr>
          </w:p>
        </w:tc>
        <w:tc>
          <w:tcPr>
            <w:tcW w:w="984" w:type="dxa"/>
            <w:vAlign w:val="center"/>
          </w:tcPr>
          <w:p>
            <w:pPr>
              <w:spacing w:line="360" w:lineRule="auto"/>
              <w:jc w:val="center"/>
              <w:rPr>
                <w:rFonts w:ascii="宋体" w:hAnsi="宋体"/>
                <w:szCs w:val="21"/>
              </w:rPr>
            </w:pPr>
          </w:p>
        </w:tc>
        <w:tc>
          <w:tcPr>
            <w:tcW w:w="1059" w:type="dxa"/>
            <w:vAlign w:val="center"/>
          </w:tcPr>
          <w:p>
            <w:pPr>
              <w:spacing w:line="360" w:lineRule="auto"/>
              <w:jc w:val="center"/>
              <w:rPr>
                <w:rFonts w:ascii="宋体" w:hAnsi="宋体"/>
                <w:szCs w:val="21"/>
              </w:rPr>
            </w:pPr>
          </w:p>
        </w:tc>
        <w:tc>
          <w:tcPr>
            <w:tcW w:w="1059" w:type="dxa"/>
            <w:vAlign w:val="center"/>
          </w:tcPr>
          <w:p>
            <w:pPr>
              <w:spacing w:line="360"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exact"/>
          <w:jc w:val="center"/>
        </w:trPr>
        <w:tc>
          <w:tcPr>
            <w:tcW w:w="756" w:type="dxa"/>
            <w:vAlign w:val="center"/>
          </w:tcPr>
          <w:p>
            <w:pPr>
              <w:spacing w:line="360" w:lineRule="auto"/>
              <w:jc w:val="center"/>
              <w:rPr>
                <w:rFonts w:ascii="宋体" w:hAnsi="宋体"/>
                <w:szCs w:val="21"/>
              </w:rPr>
            </w:pPr>
            <w:r>
              <w:rPr>
                <w:rFonts w:hint="eastAsia" w:ascii="宋体" w:hAnsi="宋体"/>
                <w:szCs w:val="21"/>
              </w:rPr>
              <w:t>6</w:t>
            </w:r>
          </w:p>
        </w:tc>
        <w:tc>
          <w:tcPr>
            <w:tcW w:w="927" w:type="dxa"/>
            <w:vAlign w:val="center"/>
          </w:tcPr>
          <w:p>
            <w:pPr>
              <w:jc w:val="center"/>
              <w:rPr>
                <w:rFonts w:ascii="宋体" w:hAnsi="宋体"/>
                <w:szCs w:val="21"/>
              </w:rPr>
            </w:pPr>
            <w:r>
              <w:rPr>
                <w:rFonts w:hint="eastAsia" w:ascii="宋体" w:hAnsi="宋体"/>
                <w:color w:val="000000"/>
                <w:kern w:val="0"/>
                <w:sz w:val="18"/>
                <w:szCs w:val="18"/>
              </w:rPr>
              <w:t>生物安全柜</w:t>
            </w:r>
          </w:p>
        </w:tc>
        <w:tc>
          <w:tcPr>
            <w:tcW w:w="1040" w:type="dxa"/>
            <w:vAlign w:val="center"/>
          </w:tcPr>
          <w:p>
            <w:pPr>
              <w:spacing w:line="360" w:lineRule="auto"/>
              <w:jc w:val="center"/>
              <w:rPr>
                <w:rFonts w:ascii="宋体" w:hAnsi="宋体"/>
                <w:szCs w:val="21"/>
              </w:rPr>
            </w:pPr>
          </w:p>
        </w:tc>
        <w:tc>
          <w:tcPr>
            <w:tcW w:w="1211" w:type="dxa"/>
            <w:vAlign w:val="center"/>
          </w:tcPr>
          <w:p>
            <w:pPr>
              <w:spacing w:line="360" w:lineRule="auto"/>
              <w:jc w:val="center"/>
              <w:rPr>
                <w:rFonts w:ascii="宋体" w:hAnsi="宋体"/>
                <w:szCs w:val="21"/>
              </w:rPr>
            </w:pPr>
          </w:p>
        </w:tc>
        <w:tc>
          <w:tcPr>
            <w:tcW w:w="1078" w:type="dxa"/>
            <w:vAlign w:val="center"/>
          </w:tcPr>
          <w:p>
            <w:pPr>
              <w:spacing w:line="360" w:lineRule="auto"/>
              <w:jc w:val="center"/>
              <w:rPr>
                <w:rFonts w:ascii="宋体" w:hAnsi="宋体"/>
                <w:szCs w:val="21"/>
              </w:rPr>
            </w:pPr>
          </w:p>
        </w:tc>
        <w:tc>
          <w:tcPr>
            <w:tcW w:w="908" w:type="dxa"/>
            <w:vAlign w:val="center"/>
          </w:tcPr>
          <w:p>
            <w:pPr>
              <w:spacing w:line="360" w:lineRule="auto"/>
              <w:jc w:val="center"/>
              <w:rPr>
                <w:rFonts w:ascii="宋体" w:hAnsi="宋体"/>
                <w:szCs w:val="21"/>
              </w:rPr>
            </w:pPr>
          </w:p>
        </w:tc>
        <w:tc>
          <w:tcPr>
            <w:tcW w:w="984" w:type="dxa"/>
            <w:vAlign w:val="center"/>
          </w:tcPr>
          <w:p>
            <w:pPr>
              <w:spacing w:line="360" w:lineRule="auto"/>
              <w:jc w:val="center"/>
              <w:rPr>
                <w:rFonts w:ascii="宋体" w:hAnsi="宋体"/>
                <w:szCs w:val="21"/>
              </w:rPr>
            </w:pPr>
          </w:p>
        </w:tc>
        <w:tc>
          <w:tcPr>
            <w:tcW w:w="1059" w:type="dxa"/>
            <w:vAlign w:val="center"/>
          </w:tcPr>
          <w:p>
            <w:pPr>
              <w:spacing w:line="360" w:lineRule="auto"/>
              <w:jc w:val="center"/>
              <w:rPr>
                <w:rFonts w:ascii="宋体" w:hAnsi="宋体"/>
                <w:szCs w:val="21"/>
              </w:rPr>
            </w:pPr>
          </w:p>
        </w:tc>
        <w:tc>
          <w:tcPr>
            <w:tcW w:w="1059" w:type="dxa"/>
            <w:vAlign w:val="center"/>
          </w:tcPr>
          <w:p>
            <w:pPr>
              <w:spacing w:line="360"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4" w:hRule="exact"/>
          <w:jc w:val="center"/>
        </w:trPr>
        <w:tc>
          <w:tcPr>
            <w:tcW w:w="756" w:type="dxa"/>
            <w:vAlign w:val="center"/>
          </w:tcPr>
          <w:p>
            <w:pPr>
              <w:spacing w:line="360" w:lineRule="auto"/>
              <w:jc w:val="center"/>
              <w:rPr>
                <w:rFonts w:ascii="宋体" w:hAnsi="宋体"/>
                <w:szCs w:val="21"/>
              </w:rPr>
            </w:pPr>
            <w:r>
              <w:rPr>
                <w:rFonts w:hint="eastAsia" w:ascii="宋体" w:hAnsi="宋体"/>
                <w:szCs w:val="21"/>
              </w:rPr>
              <w:t>7</w:t>
            </w:r>
          </w:p>
        </w:tc>
        <w:tc>
          <w:tcPr>
            <w:tcW w:w="927" w:type="dxa"/>
            <w:vAlign w:val="center"/>
          </w:tcPr>
          <w:p>
            <w:pPr>
              <w:jc w:val="center"/>
              <w:rPr>
                <w:rFonts w:ascii="宋体" w:hAnsi="宋体"/>
                <w:szCs w:val="21"/>
              </w:rPr>
            </w:pPr>
            <w:r>
              <w:rPr>
                <w:rFonts w:hint="eastAsia" w:ascii="宋体" w:hAnsi="宋体"/>
                <w:color w:val="000000"/>
                <w:kern w:val="0"/>
                <w:sz w:val="18"/>
                <w:szCs w:val="18"/>
              </w:rPr>
              <w:t>微型低速离心机</w:t>
            </w:r>
          </w:p>
        </w:tc>
        <w:tc>
          <w:tcPr>
            <w:tcW w:w="1040" w:type="dxa"/>
            <w:vAlign w:val="center"/>
          </w:tcPr>
          <w:p>
            <w:pPr>
              <w:spacing w:line="360" w:lineRule="auto"/>
              <w:jc w:val="center"/>
              <w:rPr>
                <w:rFonts w:ascii="宋体" w:hAnsi="宋体"/>
                <w:szCs w:val="21"/>
              </w:rPr>
            </w:pPr>
          </w:p>
        </w:tc>
        <w:tc>
          <w:tcPr>
            <w:tcW w:w="1211" w:type="dxa"/>
            <w:vAlign w:val="center"/>
          </w:tcPr>
          <w:p>
            <w:pPr>
              <w:spacing w:line="360" w:lineRule="auto"/>
              <w:jc w:val="center"/>
              <w:rPr>
                <w:rFonts w:ascii="宋体" w:hAnsi="宋体"/>
                <w:szCs w:val="21"/>
              </w:rPr>
            </w:pPr>
          </w:p>
        </w:tc>
        <w:tc>
          <w:tcPr>
            <w:tcW w:w="1078" w:type="dxa"/>
            <w:vAlign w:val="center"/>
          </w:tcPr>
          <w:p>
            <w:pPr>
              <w:spacing w:line="360" w:lineRule="auto"/>
              <w:jc w:val="center"/>
              <w:rPr>
                <w:rFonts w:ascii="宋体" w:hAnsi="宋体"/>
                <w:szCs w:val="21"/>
              </w:rPr>
            </w:pPr>
          </w:p>
        </w:tc>
        <w:tc>
          <w:tcPr>
            <w:tcW w:w="908" w:type="dxa"/>
            <w:vAlign w:val="center"/>
          </w:tcPr>
          <w:p>
            <w:pPr>
              <w:spacing w:line="360" w:lineRule="auto"/>
              <w:jc w:val="center"/>
              <w:rPr>
                <w:rFonts w:ascii="宋体" w:hAnsi="宋体"/>
                <w:szCs w:val="21"/>
              </w:rPr>
            </w:pPr>
          </w:p>
        </w:tc>
        <w:tc>
          <w:tcPr>
            <w:tcW w:w="984" w:type="dxa"/>
            <w:vAlign w:val="center"/>
          </w:tcPr>
          <w:p>
            <w:pPr>
              <w:spacing w:line="360" w:lineRule="auto"/>
              <w:jc w:val="center"/>
              <w:rPr>
                <w:rFonts w:ascii="宋体" w:hAnsi="宋体"/>
                <w:szCs w:val="21"/>
              </w:rPr>
            </w:pPr>
          </w:p>
        </w:tc>
        <w:tc>
          <w:tcPr>
            <w:tcW w:w="1059" w:type="dxa"/>
            <w:vAlign w:val="center"/>
          </w:tcPr>
          <w:p>
            <w:pPr>
              <w:spacing w:line="360" w:lineRule="auto"/>
              <w:jc w:val="center"/>
              <w:rPr>
                <w:rFonts w:ascii="宋体" w:hAnsi="宋体"/>
                <w:szCs w:val="21"/>
              </w:rPr>
            </w:pPr>
          </w:p>
        </w:tc>
        <w:tc>
          <w:tcPr>
            <w:tcW w:w="1059" w:type="dxa"/>
            <w:vAlign w:val="center"/>
          </w:tcPr>
          <w:p>
            <w:pPr>
              <w:spacing w:line="360"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9" w:hRule="exact"/>
          <w:jc w:val="center"/>
        </w:trPr>
        <w:tc>
          <w:tcPr>
            <w:tcW w:w="756" w:type="dxa"/>
            <w:vAlign w:val="center"/>
          </w:tcPr>
          <w:p>
            <w:pPr>
              <w:spacing w:line="360" w:lineRule="auto"/>
              <w:jc w:val="center"/>
              <w:rPr>
                <w:rFonts w:ascii="宋体" w:hAnsi="宋体"/>
                <w:szCs w:val="21"/>
              </w:rPr>
            </w:pPr>
            <w:r>
              <w:rPr>
                <w:rFonts w:hint="eastAsia" w:ascii="宋体" w:hAnsi="宋体"/>
                <w:szCs w:val="21"/>
              </w:rPr>
              <w:t>8</w:t>
            </w:r>
          </w:p>
        </w:tc>
        <w:tc>
          <w:tcPr>
            <w:tcW w:w="927" w:type="dxa"/>
            <w:vAlign w:val="center"/>
          </w:tcPr>
          <w:p>
            <w:pPr>
              <w:jc w:val="center"/>
              <w:rPr>
                <w:rFonts w:ascii="宋体" w:hAnsi="宋体"/>
                <w:szCs w:val="21"/>
              </w:rPr>
            </w:pPr>
            <w:r>
              <w:rPr>
                <w:rFonts w:hint="eastAsia" w:ascii="宋体" w:hAnsi="宋体"/>
                <w:color w:val="000000"/>
                <w:kern w:val="0"/>
                <w:sz w:val="18"/>
                <w:szCs w:val="18"/>
              </w:rPr>
              <w:t>单道可调量程移液器</w:t>
            </w:r>
          </w:p>
        </w:tc>
        <w:tc>
          <w:tcPr>
            <w:tcW w:w="1040" w:type="dxa"/>
            <w:vAlign w:val="center"/>
          </w:tcPr>
          <w:p>
            <w:pPr>
              <w:spacing w:line="360" w:lineRule="auto"/>
              <w:jc w:val="center"/>
              <w:rPr>
                <w:rFonts w:ascii="宋体" w:hAnsi="宋体"/>
                <w:szCs w:val="21"/>
              </w:rPr>
            </w:pPr>
          </w:p>
        </w:tc>
        <w:tc>
          <w:tcPr>
            <w:tcW w:w="1211" w:type="dxa"/>
            <w:vAlign w:val="center"/>
          </w:tcPr>
          <w:p>
            <w:pPr>
              <w:spacing w:line="360" w:lineRule="auto"/>
              <w:jc w:val="center"/>
              <w:rPr>
                <w:rFonts w:ascii="宋体" w:hAnsi="宋体"/>
                <w:szCs w:val="21"/>
              </w:rPr>
            </w:pPr>
          </w:p>
        </w:tc>
        <w:tc>
          <w:tcPr>
            <w:tcW w:w="1078" w:type="dxa"/>
            <w:vAlign w:val="center"/>
          </w:tcPr>
          <w:p>
            <w:pPr>
              <w:spacing w:line="360" w:lineRule="auto"/>
              <w:jc w:val="center"/>
              <w:rPr>
                <w:rFonts w:ascii="宋体" w:hAnsi="宋体"/>
                <w:szCs w:val="21"/>
              </w:rPr>
            </w:pPr>
          </w:p>
        </w:tc>
        <w:tc>
          <w:tcPr>
            <w:tcW w:w="908" w:type="dxa"/>
            <w:vAlign w:val="center"/>
          </w:tcPr>
          <w:p>
            <w:pPr>
              <w:spacing w:line="360" w:lineRule="auto"/>
              <w:jc w:val="center"/>
              <w:rPr>
                <w:rFonts w:ascii="宋体" w:hAnsi="宋体"/>
                <w:szCs w:val="21"/>
              </w:rPr>
            </w:pPr>
          </w:p>
        </w:tc>
        <w:tc>
          <w:tcPr>
            <w:tcW w:w="984" w:type="dxa"/>
            <w:vAlign w:val="center"/>
          </w:tcPr>
          <w:p>
            <w:pPr>
              <w:spacing w:line="360" w:lineRule="auto"/>
              <w:jc w:val="center"/>
              <w:rPr>
                <w:rFonts w:ascii="宋体" w:hAnsi="宋体"/>
                <w:szCs w:val="21"/>
              </w:rPr>
            </w:pPr>
          </w:p>
        </w:tc>
        <w:tc>
          <w:tcPr>
            <w:tcW w:w="1059" w:type="dxa"/>
            <w:vAlign w:val="center"/>
          </w:tcPr>
          <w:p>
            <w:pPr>
              <w:spacing w:line="360" w:lineRule="auto"/>
              <w:jc w:val="center"/>
              <w:rPr>
                <w:rFonts w:ascii="宋体" w:hAnsi="宋体"/>
                <w:szCs w:val="21"/>
              </w:rPr>
            </w:pPr>
          </w:p>
        </w:tc>
        <w:tc>
          <w:tcPr>
            <w:tcW w:w="1059" w:type="dxa"/>
            <w:vAlign w:val="center"/>
          </w:tcPr>
          <w:p>
            <w:pPr>
              <w:spacing w:line="360"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4" w:hRule="exact"/>
          <w:jc w:val="center"/>
        </w:trPr>
        <w:tc>
          <w:tcPr>
            <w:tcW w:w="756" w:type="dxa"/>
            <w:vAlign w:val="center"/>
          </w:tcPr>
          <w:p>
            <w:pPr>
              <w:spacing w:line="360" w:lineRule="auto"/>
              <w:jc w:val="center"/>
              <w:rPr>
                <w:rFonts w:ascii="宋体" w:hAnsi="宋体"/>
                <w:szCs w:val="21"/>
              </w:rPr>
            </w:pPr>
            <w:r>
              <w:rPr>
                <w:rFonts w:hint="eastAsia" w:ascii="宋体" w:hAnsi="宋体"/>
                <w:szCs w:val="21"/>
              </w:rPr>
              <w:t>9</w:t>
            </w:r>
          </w:p>
        </w:tc>
        <w:tc>
          <w:tcPr>
            <w:tcW w:w="927" w:type="dxa"/>
            <w:vAlign w:val="center"/>
          </w:tcPr>
          <w:p>
            <w:pPr>
              <w:jc w:val="center"/>
              <w:rPr>
                <w:rFonts w:ascii="宋体" w:hAnsi="宋体"/>
                <w:color w:val="000000"/>
                <w:kern w:val="0"/>
                <w:sz w:val="18"/>
                <w:szCs w:val="18"/>
              </w:rPr>
            </w:pPr>
            <w:r>
              <w:rPr>
                <w:rFonts w:hint="eastAsia" w:ascii="宋体" w:hAnsi="宋体"/>
                <w:color w:val="000000"/>
                <w:kern w:val="0"/>
                <w:sz w:val="18"/>
                <w:szCs w:val="18"/>
              </w:rPr>
              <w:t>单道可调量程移液器</w:t>
            </w:r>
          </w:p>
        </w:tc>
        <w:tc>
          <w:tcPr>
            <w:tcW w:w="1040" w:type="dxa"/>
            <w:vAlign w:val="center"/>
          </w:tcPr>
          <w:p>
            <w:pPr>
              <w:spacing w:line="360" w:lineRule="auto"/>
              <w:jc w:val="center"/>
              <w:rPr>
                <w:rFonts w:ascii="宋体" w:hAnsi="宋体"/>
                <w:szCs w:val="21"/>
              </w:rPr>
            </w:pPr>
          </w:p>
        </w:tc>
        <w:tc>
          <w:tcPr>
            <w:tcW w:w="1211" w:type="dxa"/>
            <w:vAlign w:val="center"/>
          </w:tcPr>
          <w:p>
            <w:pPr>
              <w:spacing w:line="360" w:lineRule="auto"/>
              <w:jc w:val="center"/>
              <w:rPr>
                <w:rFonts w:ascii="宋体" w:hAnsi="宋体"/>
                <w:szCs w:val="21"/>
              </w:rPr>
            </w:pPr>
          </w:p>
        </w:tc>
        <w:tc>
          <w:tcPr>
            <w:tcW w:w="1078" w:type="dxa"/>
            <w:vAlign w:val="center"/>
          </w:tcPr>
          <w:p>
            <w:pPr>
              <w:spacing w:line="360" w:lineRule="auto"/>
              <w:jc w:val="center"/>
              <w:rPr>
                <w:rFonts w:ascii="宋体" w:hAnsi="宋体"/>
                <w:szCs w:val="21"/>
              </w:rPr>
            </w:pPr>
          </w:p>
        </w:tc>
        <w:tc>
          <w:tcPr>
            <w:tcW w:w="908" w:type="dxa"/>
            <w:vAlign w:val="center"/>
          </w:tcPr>
          <w:p>
            <w:pPr>
              <w:spacing w:line="360" w:lineRule="auto"/>
              <w:jc w:val="center"/>
              <w:rPr>
                <w:rFonts w:ascii="宋体" w:hAnsi="宋体"/>
                <w:szCs w:val="21"/>
              </w:rPr>
            </w:pPr>
          </w:p>
        </w:tc>
        <w:tc>
          <w:tcPr>
            <w:tcW w:w="984" w:type="dxa"/>
            <w:vAlign w:val="center"/>
          </w:tcPr>
          <w:p>
            <w:pPr>
              <w:spacing w:line="360" w:lineRule="auto"/>
              <w:jc w:val="center"/>
              <w:rPr>
                <w:rFonts w:ascii="宋体" w:hAnsi="宋体"/>
                <w:szCs w:val="21"/>
              </w:rPr>
            </w:pPr>
          </w:p>
        </w:tc>
        <w:tc>
          <w:tcPr>
            <w:tcW w:w="1059" w:type="dxa"/>
            <w:vAlign w:val="center"/>
          </w:tcPr>
          <w:p>
            <w:pPr>
              <w:spacing w:line="360" w:lineRule="auto"/>
              <w:jc w:val="center"/>
              <w:rPr>
                <w:rFonts w:ascii="宋体" w:hAnsi="宋体"/>
                <w:szCs w:val="21"/>
              </w:rPr>
            </w:pPr>
          </w:p>
        </w:tc>
        <w:tc>
          <w:tcPr>
            <w:tcW w:w="1059" w:type="dxa"/>
            <w:vAlign w:val="center"/>
          </w:tcPr>
          <w:p>
            <w:pPr>
              <w:spacing w:line="360"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4" w:hRule="exact"/>
          <w:jc w:val="center"/>
        </w:trPr>
        <w:tc>
          <w:tcPr>
            <w:tcW w:w="756" w:type="dxa"/>
            <w:vAlign w:val="center"/>
          </w:tcPr>
          <w:p>
            <w:pPr>
              <w:spacing w:line="360" w:lineRule="auto"/>
              <w:jc w:val="center"/>
              <w:rPr>
                <w:rFonts w:ascii="宋体" w:hAnsi="宋体"/>
                <w:szCs w:val="21"/>
              </w:rPr>
            </w:pPr>
            <w:r>
              <w:rPr>
                <w:rFonts w:hint="eastAsia" w:ascii="宋体" w:hAnsi="宋体"/>
                <w:szCs w:val="21"/>
              </w:rPr>
              <w:t>10</w:t>
            </w:r>
          </w:p>
        </w:tc>
        <w:tc>
          <w:tcPr>
            <w:tcW w:w="927" w:type="dxa"/>
            <w:vAlign w:val="center"/>
          </w:tcPr>
          <w:p>
            <w:pPr>
              <w:jc w:val="center"/>
              <w:rPr>
                <w:rFonts w:ascii="宋体" w:hAnsi="宋体"/>
                <w:color w:val="000000"/>
                <w:kern w:val="0"/>
                <w:sz w:val="18"/>
                <w:szCs w:val="18"/>
              </w:rPr>
            </w:pPr>
            <w:r>
              <w:rPr>
                <w:rFonts w:hint="eastAsia" w:ascii="宋体" w:hAnsi="宋体"/>
                <w:color w:val="000000"/>
                <w:kern w:val="0"/>
                <w:sz w:val="18"/>
                <w:szCs w:val="18"/>
              </w:rPr>
              <w:t>单道可调量程移液器</w:t>
            </w:r>
          </w:p>
        </w:tc>
        <w:tc>
          <w:tcPr>
            <w:tcW w:w="1040" w:type="dxa"/>
            <w:vAlign w:val="center"/>
          </w:tcPr>
          <w:p>
            <w:pPr>
              <w:spacing w:line="360" w:lineRule="auto"/>
              <w:jc w:val="center"/>
              <w:rPr>
                <w:rFonts w:ascii="宋体" w:hAnsi="宋体"/>
                <w:szCs w:val="21"/>
              </w:rPr>
            </w:pPr>
          </w:p>
        </w:tc>
        <w:tc>
          <w:tcPr>
            <w:tcW w:w="1211" w:type="dxa"/>
            <w:vAlign w:val="center"/>
          </w:tcPr>
          <w:p>
            <w:pPr>
              <w:spacing w:line="360" w:lineRule="auto"/>
              <w:jc w:val="center"/>
              <w:rPr>
                <w:rFonts w:ascii="宋体" w:hAnsi="宋体"/>
                <w:szCs w:val="21"/>
              </w:rPr>
            </w:pPr>
          </w:p>
        </w:tc>
        <w:tc>
          <w:tcPr>
            <w:tcW w:w="1078" w:type="dxa"/>
            <w:vAlign w:val="center"/>
          </w:tcPr>
          <w:p>
            <w:pPr>
              <w:spacing w:line="360" w:lineRule="auto"/>
              <w:jc w:val="center"/>
              <w:rPr>
                <w:rFonts w:ascii="宋体" w:hAnsi="宋体"/>
                <w:szCs w:val="21"/>
              </w:rPr>
            </w:pPr>
          </w:p>
        </w:tc>
        <w:tc>
          <w:tcPr>
            <w:tcW w:w="908" w:type="dxa"/>
            <w:vAlign w:val="center"/>
          </w:tcPr>
          <w:p>
            <w:pPr>
              <w:spacing w:line="360" w:lineRule="auto"/>
              <w:jc w:val="center"/>
              <w:rPr>
                <w:rFonts w:ascii="宋体" w:hAnsi="宋体"/>
                <w:szCs w:val="21"/>
              </w:rPr>
            </w:pPr>
          </w:p>
        </w:tc>
        <w:tc>
          <w:tcPr>
            <w:tcW w:w="984" w:type="dxa"/>
            <w:vAlign w:val="center"/>
          </w:tcPr>
          <w:p>
            <w:pPr>
              <w:spacing w:line="360" w:lineRule="auto"/>
              <w:jc w:val="center"/>
              <w:rPr>
                <w:rFonts w:ascii="宋体" w:hAnsi="宋体"/>
                <w:szCs w:val="21"/>
              </w:rPr>
            </w:pPr>
          </w:p>
        </w:tc>
        <w:tc>
          <w:tcPr>
            <w:tcW w:w="1059" w:type="dxa"/>
            <w:vAlign w:val="center"/>
          </w:tcPr>
          <w:p>
            <w:pPr>
              <w:spacing w:line="360" w:lineRule="auto"/>
              <w:jc w:val="center"/>
              <w:rPr>
                <w:rFonts w:ascii="宋体" w:hAnsi="宋体"/>
                <w:szCs w:val="21"/>
              </w:rPr>
            </w:pPr>
          </w:p>
        </w:tc>
        <w:tc>
          <w:tcPr>
            <w:tcW w:w="1059" w:type="dxa"/>
            <w:vAlign w:val="center"/>
          </w:tcPr>
          <w:p>
            <w:pPr>
              <w:spacing w:line="360"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4" w:hRule="exact"/>
          <w:jc w:val="center"/>
        </w:trPr>
        <w:tc>
          <w:tcPr>
            <w:tcW w:w="756" w:type="dxa"/>
            <w:vAlign w:val="center"/>
          </w:tcPr>
          <w:p>
            <w:pPr>
              <w:spacing w:line="360" w:lineRule="auto"/>
              <w:jc w:val="center"/>
              <w:rPr>
                <w:rFonts w:ascii="宋体" w:hAnsi="宋体"/>
                <w:szCs w:val="21"/>
              </w:rPr>
            </w:pPr>
            <w:r>
              <w:rPr>
                <w:rFonts w:hint="eastAsia" w:ascii="宋体" w:hAnsi="宋体"/>
                <w:szCs w:val="21"/>
              </w:rPr>
              <w:t>11</w:t>
            </w:r>
          </w:p>
        </w:tc>
        <w:tc>
          <w:tcPr>
            <w:tcW w:w="927" w:type="dxa"/>
            <w:vAlign w:val="center"/>
          </w:tcPr>
          <w:p>
            <w:pPr>
              <w:jc w:val="center"/>
              <w:rPr>
                <w:rFonts w:ascii="宋体" w:hAnsi="宋体"/>
                <w:color w:val="000000"/>
                <w:kern w:val="0"/>
                <w:sz w:val="18"/>
                <w:szCs w:val="18"/>
              </w:rPr>
            </w:pPr>
            <w:r>
              <w:rPr>
                <w:rFonts w:hint="eastAsia" w:ascii="宋体" w:hAnsi="宋体"/>
                <w:color w:val="000000"/>
                <w:kern w:val="0"/>
                <w:sz w:val="18"/>
                <w:szCs w:val="18"/>
              </w:rPr>
              <w:t>单道可调量程移液器</w:t>
            </w:r>
          </w:p>
        </w:tc>
        <w:tc>
          <w:tcPr>
            <w:tcW w:w="1040" w:type="dxa"/>
            <w:vAlign w:val="center"/>
          </w:tcPr>
          <w:p>
            <w:pPr>
              <w:spacing w:line="360" w:lineRule="auto"/>
              <w:jc w:val="center"/>
              <w:rPr>
                <w:rFonts w:ascii="宋体" w:hAnsi="宋体"/>
                <w:szCs w:val="21"/>
              </w:rPr>
            </w:pPr>
          </w:p>
        </w:tc>
        <w:tc>
          <w:tcPr>
            <w:tcW w:w="1211" w:type="dxa"/>
            <w:vAlign w:val="center"/>
          </w:tcPr>
          <w:p>
            <w:pPr>
              <w:spacing w:line="360" w:lineRule="auto"/>
              <w:jc w:val="center"/>
              <w:rPr>
                <w:rFonts w:ascii="宋体" w:hAnsi="宋体"/>
                <w:szCs w:val="21"/>
              </w:rPr>
            </w:pPr>
          </w:p>
        </w:tc>
        <w:tc>
          <w:tcPr>
            <w:tcW w:w="1078" w:type="dxa"/>
            <w:vAlign w:val="center"/>
          </w:tcPr>
          <w:p>
            <w:pPr>
              <w:spacing w:line="360" w:lineRule="auto"/>
              <w:jc w:val="center"/>
              <w:rPr>
                <w:rFonts w:ascii="宋体" w:hAnsi="宋体"/>
                <w:szCs w:val="21"/>
              </w:rPr>
            </w:pPr>
          </w:p>
        </w:tc>
        <w:tc>
          <w:tcPr>
            <w:tcW w:w="908" w:type="dxa"/>
            <w:vAlign w:val="center"/>
          </w:tcPr>
          <w:p>
            <w:pPr>
              <w:spacing w:line="360" w:lineRule="auto"/>
              <w:jc w:val="center"/>
              <w:rPr>
                <w:rFonts w:ascii="宋体" w:hAnsi="宋体"/>
                <w:szCs w:val="21"/>
              </w:rPr>
            </w:pPr>
          </w:p>
        </w:tc>
        <w:tc>
          <w:tcPr>
            <w:tcW w:w="984" w:type="dxa"/>
            <w:vAlign w:val="center"/>
          </w:tcPr>
          <w:p>
            <w:pPr>
              <w:spacing w:line="360" w:lineRule="auto"/>
              <w:jc w:val="center"/>
              <w:rPr>
                <w:rFonts w:ascii="宋体" w:hAnsi="宋体"/>
                <w:szCs w:val="21"/>
              </w:rPr>
            </w:pPr>
          </w:p>
        </w:tc>
        <w:tc>
          <w:tcPr>
            <w:tcW w:w="1059" w:type="dxa"/>
            <w:vAlign w:val="center"/>
          </w:tcPr>
          <w:p>
            <w:pPr>
              <w:spacing w:line="360" w:lineRule="auto"/>
              <w:jc w:val="center"/>
              <w:rPr>
                <w:rFonts w:ascii="宋体" w:hAnsi="宋体"/>
                <w:szCs w:val="21"/>
              </w:rPr>
            </w:pPr>
          </w:p>
        </w:tc>
        <w:tc>
          <w:tcPr>
            <w:tcW w:w="1059" w:type="dxa"/>
            <w:vAlign w:val="center"/>
          </w:tcPr>
          <w:p>
            <w:pPr>
              <w:spacing w:line="360"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4" w:hRule="exact"/>
          <w:jc w:val="center"/>
        </w:trPr>
        <w:tc>
          <w:tcPr>
            <w:tcW w:w="756" w:type="dxa"/>
            <w:vAlign w:val="center"/>
          </w:tcPr>
          <w:p>
            <w:pPr>
              <w:spacing w:line="360" w:lineRule="auto"/>
              <w:jc w:val="center"/>
              <w:rPr>
                <w:rFonts w:ascii="宋体" w:hAnsi="宋体"/>
                <w:szCs w:val="21"/>
              </w:rPr>
            </w:pPr>
            <w:r>
              <w:rPr>
                <w:rFonts w:hint="eastAsia" w:ascii="宋体" w:hAnsi="宋体"/>
                <w:szCs w:val="21"/>
              </w:rPr>
              <w:t>12</w:t>
            </w:r>
          </w:p>
        </w:tc>
        <w:tc>
          <w:tcPr>
            <w:tcW w:w="927" w:type="dxa"/>
            <w:vAlign w:val="center"/>
          </w:tcPr>
          <w:p>
            <w:pPr>
              <w:jc w:val="center"/>
              <w:rPr>
                <w:rFonts w:ascii="宋体" w:hAnsi="宋体"/>
                <w:szCs w:val="21"/>
              </w:rPr>
            </w:pPr>
            <w:r>
              <w:rPr>
                <w:rFonts w:hint="eastAsia" w:ascii="宋体" w:hAnsi="宋体"/>
                <w:color w:val="000000"/>
                <w:kern w:val="0"/>
                <w:sz w:val="18"/>
                <w:szCs w:val="18"/>
              </w:rPr>
              <w:t>全自动核酸提取仪</w:t>
            </w:r>
          </w:p>
        </w:tc>
        <w:tc>
          <w:tcPr>
            <w:tcW w:w="1040" w:type="dxa"/>
            <w:vAlign w:val="center"/>
          </w:tcPr>
          <w:p>
            <w:pPr>
              <w:spacing w:line="360" w:lineRule="auto"/>
              <w:jc w:val="center"/>
              <w:rPr>
                <w:rFonts w:ascii="宋体" w:hAnsi="宋体"/>
                <w:szCs w:val="21"/>
              </w:rPr>
            </w:pPr>
          </w:p>
        </w:tc>
        <w:tc>
          <w:tcPr>
            <w:tcW w:w="1211" w:type="dxa"/>
            <w:vAlign w:val="center"/>
          </w:tcPr>
          <w:p>
            <w:pPr>
              <w:spacing w:line="360" w:lineRule="auto"/>
              <w:jc w:val="center"/>
              <w:rPr>
                <w:rFonts w:ascii="宋体" w:hAnsi="宋体"/>
                <w:szCs w:val="21"/>
              </w:rPr>
            </w:pPr>
          </w:p>
        </w:tc>
        <w:tc>
          <w:tcPr>
            <w:tcW w:w="1078" w:type="dxa"/>
            <w:vAlign w:val="center"/>
          </w:tcPr>
          <w:p>
            <w:pPr>
              <w:spacing w:line="360" w:lineRule="auto"/>
              <w:jc w:val="center"/>
              <w:rPr>
                <w:rFonts w:ascii="宋体" w:hAnsi="宋体"/>
                <w:szCs w:val="21"/>
              </w:rPr>
            </w:pPr>
          </w:p>
        </w:tc>
        <w:tc>
          <w:tcPr>
            <w:tcW w:w="908" w:type="dxa"/>
            <w:vAlign w:val="center"/>
          </w:tcPr>
          <w:p>
            <w:pPr>
              <w:spacing w:line="360" w:lineRule="auto"/>
              <w:jc w:val="center"/>
              <w:rPr>
                <w:rFonts w:ascii="宋体" w:hAnsi="宋体"/>
                <w:szCs w:val="21"/>
              </w:rPr>
            </w:pPr>
          </w:p>
        </w:tc>
        <w:tc>
          <w:tcPr>
            <w:tcW w:w="984" w:type="dxa"/>
            <w:vAlign w:val="center"/>
          </w:tcPr>
          <w:p>
            <w:pPr>
              <w:spacing w:line="360" w:lineRule="auto"/>
              <w:jc w:val="center"/>
              <w:rPr>
                <w:rFonts w:ascii="宋体" w:hAnsi="宋体"/>
                <w:szCs w:val="21"/>
              </w:rPr>
            </w:pPr>
          </w:p>
        </w:tc>
        <w:tc>
          <w:tcPr>
            <w:tcW w:w="1059" w:type="dxa"/>
            <w:vAlign w:val="center"/>
          </w:tcPr>
          <w:p>
            <w:pPr>
              <w:spacing w:line="360" w:lineRule="auto"/>
              <w:jc w:val="center"/>
              <w:rPr>
                <w:rFonts w:ascii="宋体" w:hAnsi="宋体"/>
                <w:szCs w:val="21"/>
              </w:rPr>
            </w:pPr>
          </w:p>
        </w:tc>
        <w:tc>
          <w:tcPr>
            <w:tcW w:w="1059" w:type="dxa"/>
            <w:vAlign w:val="center"/>
          </w:tcPr>
          <w:p>
            <w:pPr>
              <w:spacing w:line="360"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9" w:hRule="exact"/>
          <w:jc w:val="center"/>
        </w:trPr>
        <w:tc>
          <w:tcPr>
            <w:tcW w:w="756" w:type="dxa"/>
            <w:vAlign w:val="center"/>
          </w:tcPr>
          <w:p>
            <w:pPr>
              <w:spacing w:line="360" w:lineRule="auto"/>
              <w:jc w:val="center"/>
              <w:rPr>
                <w:rFonts w:ascii="宋体" w:hAnsi="宋体"/>
                <w:szCs w:val="21"/>
              </w:rPr>
            </w:pPr>
            <w:r>
              <w:rPr>
                <w:rFonts w:hint="eastAsia" w:ascii="宋体" w:hAnsi="宋体"/>
                <w:szCs w:val="21"/>
              </w:rPr>
              <w:t>13</w:t>
            </w:r>
          </w:p>
        </w:tc>
        <w:tc>
          <w:tcPr>
            <w:tcW w:w="927" w:type="dxa"/>
            <w:vAlign w:val="center"/>
          </w:tcPr>
          <w:p>
            <w:pPr>
              <w:jc w:val="center"/>
              <w:rPr>
                <w:rFonts w:ascii="宋体" w:hAnsi="宋体"/>
                <w:color w:val="000000"/>
                <w:kern w:val="0"/>
                <w:sz w:val="18"/>
                <w:szCs w:val="18"/>
              </w:rPr>
            </w:pPr>
            <w:r>
              <w:rPr>
                <w:rFonts w:hint="eastAsia" w:ascii="宋体" w:hAnsi="宋体"/>
                <w:color w:val="000000"/>
                <w:kern w:val="0"/>
                <w:sz w:val="18"/>
                <w:szCs w:val="18"/>
              </w:rPr>
              <w:t>全自动核酸提取仪</w:t>
            </w:r>
          </w:p>
        </w:tc>
        <w:tc>
          <w:tcPr>
            <w:tcW w:w="1040" w:type="dxa"/>
            <w:vAlign w:val="center"/>
          </w:tcPr>
          <w:p>
            <w:pPr>
              <w:spacing w:line="360" w:lineRule="auto"/>
              <w:jc w:val="center"/>
              <w:rPr>
                <w:rFonts w:ascii="宋体" w:hAnsi="宋体"/>
                <w:szCs w:val="21"/>
              </w:rPr>
            </w:pPr>
          </w:p>
        </w:tc>
        <w:tc>
          <w:tcPr>
            <w:tcW w:w="1211" w:type="dxa"/>
            <w:vAlign w:val="center"/>
          </w:tcPr>
          <w:p>
            <w:pPr>
              <w:spacing w:line="360" w:lineRule="auto"/>
              <w:jc w:val="center"/>
              <w:rPr>
                <w:rFonts w:ascii="宋体" w:hAnsi="宋体"/>
                <w:szCs w:val="21"/>
              </w:rPr>
            </w:pPr>
          </w:p>
        </w:tc>
        <w:tc>
          <w:tcPr>
            <w:tcW w:w="1078" w:type="dxa"/>
            <w:vAlign w:val="center"/>
          </w:tcPr>
          <w:p>
            <w:pPr>
              <w:spacing w:line="360" w:lineRule="auto"/>
              <w:jc w:val="center"/>
              <w:rPr>
                <w:rFonts w:ascii="宋体" w:hAnsi="宋体"/>
                <w:szCs w:val="21"/>
              </w:rPr>
            </w:pPr>
          </w:p>
        </w:tc>
        <w:tc>
          <w:tcPr>
            <w:tcW w:w="908" w:type="dxa"/>
            <w:vAlign w:val="center"/>
          </w:tcPr>
          <w:p>
            <w:pPr>
              <w:spacing w:line="360" w:lineRule="auto"/>
              <w:jc w:val="center"/>
              <w:rPr>
                <w:rFonts w:ascii="宋体" w:hAnsi="宋体"/>
                <w:szCs w:val="21"/>
              </w:rPr>
            </w:pPr>
          </w:p>
        </w:tc>
        <w:tc>
          <w:tcPr>
            <w:tcW w:w="984" w:type="dxa"/>
            <w:vAlign w:val="center"/>
          </w:tcPr>
          <w:p>
            <w:pPr>
              <w:spacing w:line="360" w:lineRule="auto"/>
              <w:jc w:val="center"/>
              <w:rPr>
                <w:rFonts w:ascii="宋体" w:hAnsi="宋体"/>
                <w:szCs w:val="21"/>
              </w:rPr>
            </w:pPr>
          </w:p>
        </w:tc>
        <w:tc>
          <w:tcPr>
            <w:tcW w:w="1059" w:type="dxa"/>
            <w:vAlign w:val="center"/>
          </w:tcPr>
          <w:p>
            <w:pPr>
              <w:spacing w:line="360" w:lineRule="auto"/>
              <w:jc w:val="center"/>
              <w:rPr>
                <w:rFonts w:ascii="宋体" w:hAnsi="宋体"/>
                <w:szCs w:val="21"/>
              </w:rPr>
            </w:pPr>
          </w:p>
        </w:tc>
        <w:tc>
          <w:tcPr>
            <w:tcW w:w="1059" w:type="dxa"/>
            <w:vAlign w:val="center"/>
          </w:tcPr>
          <w:p>
            <w:pPr>
              <w:spacing w:line="360"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exact"/>
          <w:jc w:val="center"/>
        </w:trPr>
        <w:tc>
          <w:tcPr>
            <w:tcW w:w="756" w:type="dxa"/>
            <w:vAlign w:val="center"/>
          </w:tcPr>
          <w:p>
            <w:pPr>
              <w:spacing w:line="360" w:lineRule="auto"/>
              <w:jc w:val="center"/>
              <w:rPr>
                <w:rFonts w:ascii="宋体" w:hAnsi="宋体"/>
                <w:szCs w:val="21"/>
              </w:rPr>
            </w:pPr>
            <w:r>
              <w:rPr>
                <w:rFonts w:hint="eastAsia" w:ascii="宋体" w:hAnsi="宋体"/>
                <w:szCs w:val="21"/>
              </w:rPr>
              <w:t>14</w:t>
            </w:r>
          </w:p>
        </w:tc>
        <w:tc>
          <w:tcPr>
            <w:tcW w:w="927" w:type="dxa"/>
            <w:vAlign w:val="center"/>
          </w:tcPr>
          <w:p>
            <w:pPr>
              <w:spacing w:line="360" w:lineRule="auto"/>
              <w:jc w:val="center"/>
              <w:rPr>
                <w:rFonts w:ascii="宋体" w:hAnsi="宋体"/>
                <w:szCs w:val="21"/>
              </w:rPr>
            </w:pPr>
            <w:r>
              <w:rPr>
                <w:rFonts w:hint="eastAsia" w:ascii="宋体" w:hAnsi="宋体"/>
                <w:color w:val="000000"/>
                <w:kern w:val="0"/>
                <w:sz w:val="18"/>
                <w:szCs w:val="18"/>
              </w:rPr>
              <w:t>金属浴</w:t>
            </w:r>
          </w:p>
        </w:tc>
        <w:tc>
          <w:tcPr>
            <w:tcW w:w="1040" w:type="dxa"/>
            <w:vAlign w:val="center"/>
          </w:tcPr>
          <w:p>
            <w:pPr>
              <w:spacing w:line="360" w:lineRule="auto"/>
              <w:jc w:val="center"/>
              <w:rPr>
                <w:rFonts w:ascii="宋体" w:hAnsi="宋体"/>
                <w:szCs w:val="21"/>
              </w:rPr>
            </w:pPr>
          </w:p>
        </w:tc>
        <w:tc>
          <w:tcPr>
            <w:tcW w:w="1211" w:type="dxa"/>
            <w:vAlign w:val="center"/>
          </w:tcPr>
          <w:p>
            <w:pPr>
              <w:spacing w:line="360" w:lineRule="auto"/>
              <w:jc w:val="center"/>
              <w:rPr>
                <w:rFonts w:ascii="宋体" w:hAnsi="宋体"/>
                <w:szCs w:val="21"/>
              </w:rPr>
            </w:pPr>
          </w:p>
        </w:tc>
        <w:tc>
          <w:tcPr>
            <w:tcW w:w="1078" w:type="dxa"/>
            <w:vAlign w:val="center"/>
          </w:tcPr>
          <w:p>
            <w:pPr>
              <w:spacing w:line="360" w:lineRule="auto"/>
              <w:jc w:val="center"/>
              <w:rPr>
                <w:rFonts w:ascii="宋体" w:hAnsi="宋体"/>
                <w:szCs w:val="21"/>
              </w:rPr>
            </w:pPr>
          </w:p>
        </w:tc>
        <w:tc>
          <w:tcPr>
            <w:tcW w:w="908" w:type="dxa"/>
            <w:vAlign w:val="center"/>
          </w:tcPr>
          <w:p>
            <w:pPr>
              <w:spacing w:line="360" w:lineRule="auto"/>
              <w:jc w:val="center"/>
              <w:rPr>
                <w:rFonts w:ascii="宋体" w:hAnsi="宋体"/>
                <w:szCs w:val="21"/>
              </w:rPr>
            </w:pPr>
          </w:p>
        </w:tc>
        <w:tc>
          <w:tcPr>
            <w:tcW w:w="984" w:type="dxa"/>
            <w:vAlign w:val="center"/>
          </w:tcPr>
          <w:p>
            <w:pPr>
              <w:spacing w:line="360" w:lineRule="auto"/>
              <w:jc w:val="center"/>
              <w:rPr>
                <w:rFonts w:ascii="宋体" w:hAnsi="宋体"/>
                <w:szCs w:val="21"/>
              </w:rPr>
            </w:pPr>
          </w:p>
        </w:tc>
        <w:tc>
          <w:tcPr>
            <w:tcW w:w="1059" w:type="dxa"/>
            <w:vAlign w:val="center"/>
          </w:tcPr>
          <w:p>
            <w:pPr>
              <w:spacing w:line="360" w:lineRule="auto"/>
              <w:jc w:val="center"/>
              <w:rPr>
                <w:rFonts w:ascii="宋体" w:hAnsi="宋体"/>
                <w:szCs w:val="21"/>
              </w:rPr>
            </w:pPr>
          </w:p>
        </w:tc>
        <w:tc>
          <w:tcPr>
            <w:tcW w:w="1059" w:type="dxa"/>
            <w:vAlign w:val="center"/>
          </w:tcPr>
          <w:p>
            <w:pPr>
              <w:spacing w:line="360"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exact"/>
          <w:jc w:val="center"/>
        </w:trPr>
        <w:tc>
          <w:tcPr>
            <w:tcW w:w="756" w:type="dxa"/>
            <w:vAlign w:val="center"/>
          </w:tcPr>
          <w:p>
            <w:pPr>
              <w:spacing w:line="360" w:lineRule="auto"/>
              <w:jc w:val="center"/>
              <w:rPr>
                <w:rFonts w:ascii="宋体" w:hAnsi="宋体"/>
                <w:szCs w:val="21"/>
              </w:rPr>
            </w:pPr>
            <w:r>
              <w:rPr>
                <w:rFonts w:hint="eastAsia" w:ascii="宋体" w:hAnsi="宋体"/>
                <w:szCs w:val="21"/>
              </w:rPr>
              <w:t>15</w:t>
            </w:r>
          </w:p>
        </w:tc>
        <w:tc>
          <w:tcPr>
            <w:tcW w:w="927" w:type="dxa"/>
            <w:vAlign w:val="center"/>
          </w:tcPr>
          <w:p>
            <w:pPr>
              <w:jc w:val="center"/>
              <w:rPr>
                <w:rFonts w:ascii="宋体" w:hAnsi="宋体"/>
                <w:szCs w:val="21"/>
              </w:rPr>
            </w:pPr>
            <w:r>
              <w:rPr>
                <w:rFonts w:hint="eastAsia" w:ascii="宋体" w:hAnsi="宋体"/>
                <w:color w:val="000000"/>
                <w:kern w:val="0"/>
                <w:sz w:val="18"/>
                <w:szCs w:val="18"/>
              </w:rPr>
              <w:t>荧光定量PCR仪</w:t>
            </w:r>
          </w:p>
        </w:tc>
        <w:tc>
          <w:tcPr>
            <w:tcW w:w="1040" w:type="dxa"/>
            <w:vAlign w:val="center"/>
          </w:tcPr>
          <w:p>
            <w:pPr>
              <w:spacing w:line="360" w:lineRule="auto"/>
              <w:jc w:val="center"/>
              <w:rPr>
                <w:rFonts w:ascii="宋体" w:hAnsi="宋体"/>
                <w:szCs w:val="21"/>
              </w:rPr>
            </w:pPr>
          </w:p>
        </w:tc>
        <w:tc>
          <w:tcPr>
            <w:tcW w:w="1211" w:type="dxa"/>
            <w:vAlign w:val="center"/>
          </w:tcPr>
          <w:p>
            <w:pPr>
              <w:spacing w:line="360" w:lineRule="auto"/>
              <w:jc w:val="center"/>
              <w:rPr>
                <w:rFonts w:ascii="宋体" w:hAnsi="宋体"/>
                <w:szCs w:val="21"/>
              </w:rPr>
            </w:pPr>
          </w:p>
        </w:tc>
        <w:tc>
          <w:tcPr>
            <w:tcW w:w="1078" w:type="dxa"/>
            <w:vAlign w:val="center"/>
          </w:tcPr>
          <w:p>
            <w:pPr>
              <w:spacing w:line="360" w:lineRule="auto"/>
              <w:jc w:val="center"/>
              <w:rPr>
                <w:rFonts w:ascii="宋体" w:hAnsi="宋体"/>
                <w:szCs w:val="21"/>
              </w:rPr>
            </w:pPr>
          </w:p>
        </w:tc>
        <w:tc>
          <w:tcPr>
            <w:tcW w:w="908" w:type="dxa"/>
            <w:vAlign w:val="center"/>
          </w:tcPr>
          <w:p>
            <w:pPr>
              <w:spacing w:line="360" w:lineRule="auto"/>
              <w:jc w:val="center"/>
              <w:rPr>
                <w:rFonts w:ascii="宋体" w:hAnsi="宋体"/>
                <w:szCs w:val="21"/>
              </w:rPr>
            </w:pPr>
          </w:p>
        </w:tc>
        <w:tc>
          <w:tcPr>
            <w:tcW w:w="984" w:type="dxa"/>
            <w:vAlign w:val="center"/>
          </w:tcPr>
          <w:p>
            <w:pPr>
              <w:spacing w:line="360" w:lineRule="auto"/>
              <w:jc w:val="center"/>
              <w:rPr>
                <w:rFonts w:ascii="宋体" w:hAnsi="宋体"/>
                <w:szCs w:val="21"/>
              </w:rPr>
            </w:pPr>
          </w:p>
        </w:tc>
        <w:tc>
          <w:tcPr>
            <w:tcW w:w="1059" w:type="dxa"/>
            <w:vAlign w:val="center"/>
          </w:tcPr>
          <w:p>
            <w:pPr>
              <w:spacing w:line="360" w:lineRule="auto"/>
              <w:jc w:val="center"/>
              <w:rPr>
                <w:rFonts w:ascii="宋体" w:hAnsi="宋体"/>
                <w:szCs w:val="21"/>
              </w:rPr>
            </w:pPr>
          </w:p>
        </w:tc>
        <w:tc>
          <w:tcPr>
            <w:tcW w:w="1059" w:type="dxa"/>
            <w:vAlign w:val="center"/>
          </w:tcPr>
          <w:p>
            <w:pPr>
              <w:spacing w:line="360"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exact"/>
          <w:jc w:val="center"/>
        </w:trPr>
        <w:tc>
          <w:tcPr>
            <w:tcW w:w="756" w:type="dxa"/>
            <w:vAlign w:val="center"/>
          </w:tcPr>
          <w:p>
            <w:pPr>
              <w:spacing w:line="360" w:lineRule="auto"/>
              <w:jc w:val="center"/>
              <w:rPr>
                <w:rFonts w:ascii="宋体" w:hAnsi="宋体"/>
                <w:szCs w:val="21"/>
              </w:rPr>
            </w:pPr>
            <w:r>
              <w:rPr>
                <w:rFonts w:hint="eastAsia" w:ascii="宋体" w:hAnsi="宋体"/>
                <w:szCs w:val="21"/>
              </w:rPr>
              <w:t>16</w:t>
            </w:r>
          </w:p>
        </w:tc>
        <w:tc>
          <w:tcPr>
            <w:tcW w:w="927" w:type="dxa"/>
            <w:vAlign w:val="center"/>
          </w:tcPr>
          <w:p>
            <w:pPr>
              <w:jc w:val="center"/>
              <w:rPr>
                <w:rFonts w:ascii="宋体" w:hAnsi="宋体"/>
                <w:szCs w:val="21"/>
              </w:rPr>
            </w:pPr>
            <w:r>
              <w:rPr>
                <w:rFonts w:hint="eastAsia" w:ascii="宋体" w:hAnsi="宋体"/>
                <w:color w:val="000000"/>
                <w:kern w:val="0"/>
                <w:sz w:val="18"/>
                <w:szCs w:val="18"/>
              </w:rPr>
              <w:t>荧光定量PCR仪</w:t>
            </w:r>
          </w:p>
        </w:tc>
        <w:tc>
          <w:tcPr>
            <w:tcW w:w="1040" w:type="dxa"/>
            <w:vAlign w:val="center"/>
          </w:tcPr>
          <w:p>
            <w:pPr>
              <w:spacing w:line="360" w:lineRule="auto"/>
              <w:jc w:val="center"/>
              <w:rPr>
                <w:rFonts w:ascii="宋体" w:hAnsi="宋体"/>
                <w:szCs w:val="21"/>
              </w:rPr>
            </w:pPr>
          </w:p>
        </w:tc>
        <w:tc>
          <w:tcPr>
            <w:tcW w:w="1211" w:type="dxa"/>
            <w:vAlign w:val="center"/>
          </w:tcPr>
          <w:p>
            <w:pPr>
              <w:spacing w:line="360" w:lineRule="auto"/>
              <w:jc w:val="center"/>
              <w:rPr>
                <w:rFonts w:ascii="宋体" w:hAnsi="宋体"/>
                <w:szCs w:val="21"/>
              </w:rPr>
            </w:pPr>
          </w:p>
        </w:tc>
        <w:tc>
          <w:tcPr>
            <w:tcW w:w="1078" w:type="dxa"/>
            <w:vAlign w:val="center"/>
          </w:tcPr>
          <w:p>
            <w:pPr>
              <w:spacing w:line="360" w:lineRule="auto"/>
              <w:jc w:val="center"/>
              <w:rPr>
                <w:rFonts w:ascii="宋体" w:hAnsi="宋体"/>
                <w:szCs w:val="21"/>
              </w:rPr>
            </w:pPr>
          </w:p>
        </w:tc>
        <w:tc>
          <w:tcPr>
            <w:tcW w:w="908" w:type="dxa"/>
            <w:vAlign w:val="center"/>
          </w:tcPr>
          <w:p>
            <w:pPr>
              <w:spacing w:line="360" w:lineRule="auto"/>
              <w:jc w:val="center"/>
              <w:rPr>
                <w:rFonts w:ascii="宋体" w:hAnsi="宋体"/>
                <w:szCs w:val="21"/>
              </w:rPr>
            </w:pPr>
          </w:p>
        </w:tc>
        <w:tc>
          <w:tcPr>
            <w:tcW w:w="984" w:type="dxa"/>
            <w:vAlign w:val="center"/>
          </w:tcPr>
          <w:p>
            <w:pPr>
              <w:spacing w:line="360" w:lineRule="auto"/>
              <w:jc w:val="center"/>
              <w:rPr>
                <w:rFonts w:ascii="宋体" w:hAnsi="宋体"/>
                <w:szCs w:val="21"/>
              </w:rPr>
            </w:pPr>
          </w:p>
        </w:tc>
        <w:tc>
          <w:tcPr>
            <w:tcW w:w="1059" w:type="dxa"/>
            <w:vAlign w:val="center"/>
          </w:tcPr>
          <w:p>
            <w:pPr>
              <w:spacing w:line="360" w:lineRule="auto"/>
              <w:jc w:val="center"/>
              <w:rPr>
                <w:rFonts w:ascii="宋体" w:hAnsi="宋体"/>
                <w:szCs w:val="21"/>
              </w:rPr>
            </w:pPr>
          </w:p>
        </w:tc>
        <w:tc>
          <w:tcPr>
            <w:tcW w:w="1059" w:type="dxa"/>
            <w:vAlign w:val="center"/>
          </w:tcPr>
          <w:p>
            <w:pPr>
              <w:spacing w:line="360"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9" w:hRule="exact"/>
          <w:jc w:val="center"/>
        </w:trPr>
        <w:tc>
          <w:tcPr>
            <w:tcW w:w="756" w:type="dxa"/>
            <w:vAlign w:val="center"/>
          </w:tcPr>
          <w:p>
            <w:pPr>
              <w:spacing w:line="360" w:lineRule="auto"/>
              <w:jc w:val="center"/>
              <w:rPr>
                <w:rFonts w:ascii="宋体" w:hAnsi="宋体"/>
                <w:szCs w:val="21"/>
              </w:rPr>
            </w:pPr>
            <w:r>
              <w:rPr>
                <w:rFonts w:hint="eastAsia" w:ascii="宋体" w:hAnsi="宋体"/>
                <w:szCs w:val="21"/>
              </w:rPr>
              <w:t>17</w:t>
            </w:r>
          </w:p>
        </w:tc>
        <w:tc>
          <w:tcPr>
            <w:tcW w:w="927" w:type="dxa"/>
            <w:vAlign w:val="center"/>
          </w:tcPr>
          <w:p>
            <w:pPr>
              <w:jc w:val="center"/>
              <w:rPr>
                <w:rFonts w:ascii="宋体" w:hAnsi="宋体"/>
                <w:szCs w:val="21"/>
              </w:rPr>
            </w:pPr>
            <w:r>
              <w:rPr>
                <w:rFonts w:hint="eastAsia" w:ascii="宋体" w:hAnsi="宋体"/>
                <w:color w:val="000000"/>
                <w:kern w:val="0"/>
                <w:sz w:val="18"/>
                <w:szCs w:val="18"/>
              </w:rPr>
              <w:t>超低温冰箱-86℃</w:t>
            </w:r>
          </w:p>
        </w:tc>
        <w:tc>
          <w:tcPr>
            <w:tcW w:w="1040" w:type="dxa"/>
            <w:vAlign w:val="center"/>
          </w:tcPr>
          <w:p>
            <w:pPr>
              <w:spacing w:line="360" w:lineRule="auto"/>
              <w:jc w:val="center"/>
              <w:rPr>
                <w:rFonts w:ascii="宋体" w:hAnsi="宋体"/>
                <w:szCs w:val="21"/>
              </w:rPr>
            </w:pPr>
          </w:p>
        </w:tc>
        <w:tc>
          <w:tcPr>
            <w:tcW w:w="1211" w:type="dxa"/>
            <w:vAlign w:val="center"/>
          </w:tcPr>
          <w:p>
            <w:pPr>
              <w:spacing w:line="360" w:lineRule="auto"/>
              <w:jc w:val="center"/>
              <w:rPr>
                <w:rFonts w:ascii="宋体" w:hAnsi="宋体"/>
                <w:szCs w:val="21"/>
              </w:rPr>
            </w:pPr>
          </w:p>
        </w:tc>
        <w:tc>
          <w:tcPr>
            <w:tcW w:w="1078" w:type="dxa"/>
            <w:vAlign w:val="center"/>
          </w:tcPr>
          <w:p>
            <w:pPr>
              <w:spacing w:line="360" w:lineRule="auto"/>
              <w:jc w:val="center"/>
              <w:rPr>
                <w:rFonts w:ascii="宋体" w:hAnsi="宋体"/>
                <w:szCs w:val="21"/>
              </w:rPr>
            </w:pPr>
          </w:p>
        </w:tc>
        <w:tc>
          <w:tcPr>
            <w:tcW w:w="908" w:type="dxa"/>
            <w:vAlign w:val="center"/>
          </w:tcPr>
          <w:p>
            <w:pPr>
              <w:spacing w:line="360" w:lineRule="auto"/>
              <w:jc w:val="center"/>
              <w:rPr>
                <w:rFonts w:ascii="宋体" w:hAnsi="宋体"/>
                <w:szCs w:val="21"/>
              </w:rPr>
            </w:pPr>
          </w:p>
        </w:tc>
        <w:tc>
          <w:tcPr>
            <w:tcW w:w="984" w:type="dxa"/>
            <w:vAlign w:val="center"/>
          </w:tcPr>
          <w:p>
            <w:pPr>
              <w:spacing w:line="360" w:lineRule="auto"/>
              <w:jc w:val="center"/>
              <w:rPr>
                <w:rFonts w:ascii="宋体" w:hAnsi="宋体"/>
                <w:szCs w:val="21"/>
              </w:rPr>
            </w:pPr>
          </w:p>
        </w:tc>
        <w:tc>
          <w:tcPr>
            <w:tcW w:w="1059" w:type="dxa"/>
            <w:vAlign w:val="center"/>
          </w:tcPr>
          <w:p>
            <w:pPr>
              <w:spacing w:line="360" w:lineRule="auto"/>
              <w:jc w:val="center"/>
              <w:rPr>
                <w:rFonts w:ascii="宋体" w:hAnsi="宋体"/>
                <w:szCs w:val="21"/>
              </w:rPr>
            </w:pPr>
          </w:p>
        </w:tc>
        <w:tc>
          <w:tcPr>
            <w:tcW w:w="1059" w:type="dxa"/>
            <w:vAlign w:val="center"/>
          </w:tcPr>
          <w:p>
            <w:pPr>
              <w:spacing w:line="360"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exact"/>
          <w:jc w:val="center"/>
        </w:trPr>
        <w:tc>
          <w:tcPr>
            <w:tcW w:w="756" w:type="dxa"/>
            <w:vAlign w:val="center"/>
          </w:tcPr>
          <w:p>
            <w:pPr>
              <w:spacing w:line="360" w:lineRule="auto"/>
              <w:jc w:val="center"/>
              <w:rPr>
                <w:rFonts w:ascii="宋体" w:hAnsi="宋体"/>
                <w:szCs w:val="21"/>
              </w:rPr>
            </w:pPr>
            <w:r>
              <w:rPr>
                <w:rFonts w:hint="eastAsia" w:ascii="宋体" w:hAnsi="宋体"/>
                <w:szCs w:val="21"/>
              </w:rPr>
              <w:t>18</w:t>
            </w:r>
          </w:p>
        </w:tc>
        <w:tc>
          <w:tcPr>
            <w:tcW w:w="927" w:type="dxa"/>
            <w:vAlign w:val="center"/>
          </w:tcPr>
          <w:p>
            <w:pPr>
              <w:jc w:val="center"/>
              <w:rPr>
                <w:rFonts w:ascii="宋体" w:hAnsi="宋体"/>
                <w:szCs w:val="21"/>
              </w:rPr>
            </w:pPr>
            <w:r>
              <w:rPr>
                <w:rFonts w:hint="eastAsia" w:ascii="宋体" w:hAnsi="宋体"/>
                <w:color w:val="000000"/>
                <w:kern w:val="0"/>
                <w:sz w:val="18"/>
                <w:szCs w:val="18"/>
              </w:rPr>
              <w:t>通讯手机</w:t>
            </w:r>
          </w:p>
        </w:tc>
        <w:tc>
          <w:tcPr>
            <w:tcW w:w="1040" w:type="dxa"/>
            <w:vAlign w:val="center"/>
          </w:tcPr>
          <w:p>
            <w:pPr>
              <w:spacing w:line="360" w:lineRule="auto"/>
              <w:jc w:val="center"/>
              <w:rPr>
                <w:rFonts w:ascii="宋体" w:hAnsi="宋体"/>
                <w:szCs w:val="21"/>
              </w:rPr>
            </w:pPr>
          </w:p>
        </w:tc>
        <w:tc>
          <w:tcPr>
            <w:tcW w:w="1211" w:type="dxa"/>
            <w:vAlign w:val="center"/>
          </w:tcPr>
          <w:p>
            <w:pPr>
              <w:spacing w:line="360" w:lineRule="auto"/>
              <w:jc w:val="center"/>
              <w:rPr>
                <w:rFonts w:ascii="宋体" w:hAnsi="宋体"/>
                <w:szCs w:val="21"/>
              </w:rPr>
            </w:pPr>
          </w:p>
        </w:tc>
        <w:tc>
          <w:tcPr>
            <w:tcW w:w="1078" w:type="dxa"/>
            <w:vAlign w:val="center"/>
          </w:tcPr>
          <w:p>
            <w:pPr>
              <w:spacing w:line="360" w:lineRule="auto"/>
              <w:jc w:val="center"/>
              <w:rPr>
                <w:rFonts w:ascii="宋体" w:hAnsi="宋体"/>
                <w:szCs w:val="21"/>
              </w:rPr>
            </w:pPr>
          </w:p>
        </w:tc>
        <w:tc>
          <w:tcPr>
            <w:tcW w:w="908" w:type="dxa"/>
            <w:vAlign w:val="center"/>
          </w:tcPr>
          <w:p>
            <w:pPr>
              <w:spacing w:line="360" w:lineRule="auto"/>
              <w:jc w:val="center"/>
              <w:rPr>
                <w:rFonts w:ascii="宋体" w:hAnsi="宋体"/>
                <w:szCs w:val="21"/>
              </w:rPr>
            </w:pPr>
          </w:p>
        </w:tc>
        <w:tc>
          <w:tcPr>
            <w:tcW w:w="984" w:type="dxa"/>
            <w:vAlign w:val="center"/>
          </w:tcPr>
          <w:p>
            <w:pPr>
              <w:spacing w:line="360" w:lineRule="auto"/>
              <w:jc w:val="center"/>
              <w:rPr>
                <w:rFonts w:ascii="宋体" w:hAnsi="宋体"/>
                <w:szCs w:val="21"/>
              </w:rPr>
            </w:pPr>
          </w:p>
        </w:tc>
        <w:tc>
          <w:tcPr>
            <w:tcW w:w="1059" w:type="dxa"/>
            <w:vAlign w:val="center"/>
          </w:tcPr>
          <w:p>
            <w:pPr>
              <w:spacing w:line="360" w:lineRule="auto"/>
              <w:jc w:val="center"/>
              <w:rPr>
                <w:rFonts w:ascii="宋体" w:hAnsi="宋体"/>
                <w:szCs w:val="21"/>
              </w:rPr>
            </w:pPr>
          </w:p>
        </w:tc>
        <w:tc>
          <w:tcPr>
            <w:tcW w:w="1059" w:type="dxa"/>
            <w:vAlign w:val="center"/>
          </w:tcPr>
          <w:p>
            <w:pPr>
              <w:spacing w:line="360"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exact"/>
          <w:jc w:val="center"/>
        </w:trPr>
        <w:tc>
          <w:tcPr>
            <w:tcW w:w="756" w:type="dxa"/>
            <w:vAlign w:val="center"/>
          </w:tcPr>
          <w:p>
            <w:pPr>
              <w:spacing w:line="360" w:lineRule="auto"/>
              <w:jc w:val="center"/>
              <w:rPr>
                <w:rFonts w:ascii="宋体" w:hAnsi="宋体"/>
                <w:szCs w:val="21"/>
              </w:rPr>
            </w:pPr>
            <w:r>
              <w:rPr>
                <w:rFonts w:hint="eastAsia" w:ascii="宋体" w:hAnsi="宋体"/>
                <w:szCs w:val="21"/>
              </w:rPr>
              <w:t>19</w:t>
            </w:r>
          </w:p>
        </w:tc>
        <w:tc>
          <w:tcPr>
            <w:tcW w:w="927" w:type="dxa"/>
            <w:vAlign w:val="center"/>
          </w:tcPr>
          <w:p>
            <w:pPr>
              <w:spacing w:line="360" w:lineRule="auto"/>
              <w:jc w:val="center"/>
              <w:rPr>
                <w:rFonts w:ascii="宋体" w:hAnsi="宋体"/>
                <w:szCs w:val="21"/>
              </w:rPr>
            </w:pPr>
            <w:r>
              <w:rPr>
                <w:rFonts w:hint="eastAsia" w:ascii="宋体" w:hAnsi="宋体"/>
                <w:color w:val="000000"/>
                <w:kern w:val="0"/>
                <w:sz w:val="18"/>
                <w:szCs w:val="18"/>
              </w:rPr>
              <w:t>UPS电源</w:t>
            </w:r>
          </w:p>
        </w:tc>
        <w:tc>
          <w:tcPr>
            <w:tcW w:w="1040" w:type="dxa"/>
            <w:vAlign w:val="center"/>
          </w:tcPr>
          <w:p>
            <w:pPr>
              <w:spacing w:line="360" w:lineRule="auto"/>
              <w:jc w:val="center"/>
              <w:rPr>
                <w:rFonts w:ascii="宋体" w:hAnsi="宋体"/>
                <w:szCs w:val="21"/>
              </w:rPr>
            </w:pPr>
          </w:p>
        </w:tc>
        <w:tc>
          <w:tcPr>
            <w:tcW w:w="1211" w:type="dxa"/>
            <w:vAlign w:val="center"/>
          </w:tcPr>
          <w:p>
            <w:pPr>
              <w:spacing w:line="360" w:lineRule="auto"/>
              <w:jc w:val="center"/>
              <w:rPr>
                <w:rFonts w:ascii="宋体" w:hAnsi="宋体"/>
                <w:szCs w:val="21"/>
              </w:rPr>
            </w:pPr>
          </w:p>
        </w:tc>
        <w:tc>
          <w:tcPr>
            <w:tcW w:w="1078" w:type="dxa"/>
            <w:vAlign w:val="center"/>
          </w:tcPr>
          <w:p>
            <w:pPr>
              <w:spacing w:line="360" w:lineRule="auto"/>
              <w:jc w:val="center"/>
              <w:rPr>
                <w:rFonts w:ascii="宋体" w:hAnsi="宋体"/>
                <w:szCs w:val="21"/>
              </w:rPr>
            </w:pPr>
          </w:p>
        </w:tc>
        <w:tc>
          <w:tcPr>
            <w:tcW w:w="908" w:type="dxa"/>
            <w:vAlign w:val="center"/>
          </w:tcPr>
          <w:p>
            <w:pPr>
              <w:spacing w:line="360" w:lineRule="auto"/>
              <w:jc w:val="center"/>
              <w:rPr>
                <w:rFonts w:ascii="宋体" w:hAnsi="宋体"/>
                <w:szCs w:val="21"/>
              </w:rPr>
            </w:pPr>
          </w:p>
        </w:tc>
        <w:tc>
          <w:tcPr>
            <w:tcW w:w="984" w:type="dxa"/>
            <w:vAlign w:val="center"/>
          </w:tcPr>
          <w:p>
            <w:pPr>
              <w:spacing w:line="360" w:lineRule="auto"/>
              <w:jc w:val="center"/>
              <w:rPr>
                <w:rFonts w:ascii="宋体" w:hAnsi="宋体"/>
                <w:szCs w:val="21"/>
              </w:rPr>
            </w:pPr>
          </w:p>
        </w:tc>
        <w:tc>
          <w:tcPr>
            <w:tcW w:w="1059" w:type="dxa"/>
            <w:vAlign w:val="center"/>
          </w:tcPr>
          <w:p>
            <w:pPr>
              <w:spacing w:line="360" w:lineRule="auto"/>
              <w:jc w:val="center"/>
              <w:rPr>
                <w:rFonts w:ascii="宋体" w:hAnsi="宋体"/>
                <w:szCs w:val="21"/>
              </w:rPr>
            </w:pPr>
          </w:p>
        </w:tc>
        <w:tc>
          <w:tcPr>
            <w:tcW w:w="1059" w:type="dxa"/>
            <w:vAlign w:val="center"/>
          </w:tcPr>
          <w:p>
            <w:pPr>
              <w:spacing w:line="360"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4" w:hRule="exact"/>
          <w:jc w:val="center"/>
        </w:trPr>
        <w:tc>
          <w:tcPr>
            <w:tcW w:w="756" w:type="dxa"/>
            <w:vAlign w:val="center"/>
          </w:tcPr>
          <w:p>
            <w:pPr>
              <w:spacing w:line="360" w:lineRule="auto"/>
              <w:jc w:val="center"/>
              <w:rPr>
                <w:rFonts w:ascii="宋体" w:hAnsi="宋体"/>
                <w:szCs w:val="21"/>
              </w:rPr>
            </w:pPr>
            <w:r>
              <w:rPr>
                <w:rFonts w:hint="eastAsia" w:ascii="宋体" w:hAnsi="宋体"/>
                <w:szCs w:val="21"/>
              </w:rPr>
              <w:t>20</w:t>
            </w:r>
          </w:p>
        </w:tc>
        <w:tc>
          <w:tcPr>
            <w:tcW w:w="927" w:type="dxa"/>
            <w:vAlign w:val="center"/>
          </w:tcPr>
          <w:p>
            <w:pPr>
              <w:jc w:val="center"/>
              <w:rPr>
                <w:rFonts w:ascii="宋体" w:hAnsi="宋体"/>
                <w:szCs w:val="21"/>
              </w:rPr>
            </w:pPr>
            <w:r>
              <w:rPr>
                <w:rFonts w:hint="eastAsia" w:ascii="宋体" w:hAnsi="宋体"/>
                <w:color w:val="000000"/>
                <w:kern w:val="0"/>
                <w:sz w:val="18"/>
                <w:szCs w:val="18"/>
              </w:rPr>
              <w:t>台式高速冷冻离心机</w:t>
            </w:r>
          </w:p>
        </w:tc>
        <w:tc>
          <w:tcPr>
            <w:tcW w:w="1040" w:type="dxa"/>
            <w:vAlign w:val="center"/>
          </w:tcPr>
          <w:p>
            <w:pPr>
              <w:spacing w:line="360" w:lineRule="auto"/>
              <w:jc w:val="center"/>
              <w:rPr>
                <w:rFonts w:ascii="宋体" w:hAnsi="宋体"/>
                <w:szCs w:val="21"/>
              </w:rPr>
            </w:pPr>
          </w:p>
        </w:tc>
        <w:tc>
          <w:tcPr>
            <w:tcW w:w="1211" w:type="dxa"/>
            <w:vAlign w:val="center"/>
          </w:tcPr>
          <w:p>
            <w:pPr>
              <w:spacing w:line="360" w:lineRule="auto"/>
              <w:jc w:val="center"/>
              <w:rPr>
                <w:rFonts w:ascii="宋体" w:hAnsi="宋体"/>
                <w:szCs w:val="21"/>
              </w:rPr>
            </w:pPr>
          </w:p>
        </w:tc>
        <w:tc>
          <w:tcPr>
            <w:tcW w:w="1078" w:type="dxa"/>
            <w:vAlign w:val="center"/>
          </w:tcPr>
          <w:p>
            <w:pPr>
              <w:spacing w:line="360" w:lineRule="auto"/>
              <w:jc w:val="center"/>
              <w:rPr>
                <w:rFonts w:ascii="宋体" w:hAnsi="宋体"/>
                <w:szCs w:val="21"/>
              </w:rPr>
            </w:pPr>
          </w:p>
        </w:tc>
        <w:tc>
          <w:tcPr>
            <w:tcW w:w="908" w:type="dxa"/>
            <w:vAlign w:val="center"/>
          </w:tcPr>
          <w:p>
            <w:pPr>
              <w:spacing w:line="360" w:lineRule="auto"/>
              <w:jc w:val="center"/>
              <w:rPr>
                <w:rFonts w:ascii="宋体" w:hAnsi="宋体"/>
                <w:szCs w:val="21"/>
              </w:rPr>
            </w:pPr>
          </w:p>
        </w:tc>
        <w:tc>
          <w:tcPr>
            <w:tcW w:w="984" w:type="dxa"/>
            <w:vAlign w:val="center"/>
          </w:tcPr>
          <w:p>
            <w:pPr>
              <w:spacing w:line="360" w:lineRule="auto"/>
              <w:jc w:val="center"/>
              <w:rPr>
                <w:rFonts w:ascii="宋体" w:hAnsi="宋体"/>
                <w:szCs w:val="21"/>
              </w:rPr>
            </w:pPr>
          </w:p>
        </w:tc>
        <w:tc>
          <w:tcPr>
            <w:tcW w:w="1059" w:type="dxa"/>
            <w:vAlign w:val="center"/>
          </w:tcPr>
          <w:p>
            <w:pPr>
              <w:spacing w:line="360" w:lineRule="auto"/>
              <w:jc w:val="center"/>
              <w:rPr>
                <w:rFonts w:ascii="宋体" w:hAnsi="宋体"/>
                <w:szCs w:val="21"/>
              </w:rPr>
            </w:pPr>
          </w:p>
        </w:tc>
        <w:tc>
          <w:tcPr>
            <w:tcW w:w="1059" w:type="dxa"/>
            <w:vAlign w:val="center"/>
          </w:tcPr>
          <w:p>
            <w:pPr>
              <w:spacing w:line="360"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exact"/>
          <w:jc w:val="center"/>
        </w:trPr>
        <w:tc>
          <w:tcPr>
            <w:tcW w:w="756" w:type="dxa"/>
            <w:vAlign w:val="center"/>
          </w:tcPr>
          <w:p>
            <w:pPr>
              <w:spacing w:line="360" w:lineRule="auto"/>
              <w:jc w:val="center"/>
              <w:rPr>
                <w:rFonts w:ascii="宋体" w:hAnsi="宋体"/>
                <w:szCs w:val="21"/>
              </w:rPr>
            </w:pPr>
            <w:r>
              <w:rPr>
                <w:rFonts w:hint="eastAsia" w:ascii="宋体" w:hAnsi="宋体"/>
                <w:szCs w:val="21"/>
              </w:rPr>
              <w:t>21</w:t>
            </w:r>
          </w:p>
        </w:tc>
        <w:tc>
          <w:tcPr>
            <w:tcW w:w="927" w:type="dxa"/>
            <w:vAlign w:val="center"/>
          </w:tcPr>
          <w:p>
            <w:pPr>
              <w:spacing w:line="360" w:lineRule="auto"/>
              <w:jc w:val="center"/>
              <w:rPr>
                <w:rFonts w:ascii="宋体" w:hAnsi="宋体"/>
                <w:szCs w:val="21"/>
              </w:rPr>
            </w:pPr>
            <w:r>
              <w:rPr>
                <w:rFonts w:hint="eastAsia" w:ascii="宋体" w:hAnsi="宋体"/>
                <w:color w:val="000000"/>
                <w:kern w:val="0"/>
                <w:sz w:val="18"/>
                <w:szCs w:val="18"/>
              </w:rPr>
              <w:t>鞋套机</w:t>
            </w:r>
          </w:p>
        </w:tc>
        <w:tc>
          <w:tcPr>
            <w:tcW w:w="1040" w:type="dxa"/>
            <w:vAlign w:val="center"/>
          </w:tcPr>
          <w:p>
            <w:pPr>
              <w:spacing w:line="360" w:lineRule="auto"/>
              <w:jc w:val="center"/>
              <w:rPr>
                <w:rFonts w:ascii="宋体" w:hAnsi="宋体"/>
                <w:szCs w:val="21"/>
              </w:rPr>
            </w:pPr>
          </w:p>
        </w:tc>
        <w:tc>
          <w:tcPr>
            <w:tcW w:w="1211" w:type="dxa"/>
            <w:vAlign w:val="center"/>
          </w:tcPr>
          <w:p>
            <w:pPr>
              <w:spacing w:line="360" w:lineRule="auto"/>
              <w:jc w:val="center"/>
              <w:rPr>
                <w:rFonts w:ascii="宋体" w:hAnsi="宋体"/>
                <w:szCs w:val="21"/>
              </w:rPr>
            </w:pPr>
          </w:p>
        </w:tc>
        <w:tc>
          <w:tcPr>
            <w:tcW w:w="1078" w:type="dxa"/>
            <w:vAlign w:val="center"/>
          </w:tcPr>
          <w:p>
            <w:pPr>
              <w:spacing w:line="360" w:lineRule="auto"/>
              <w:jc w:val="center"/>
              <w:rPr>
                <w:rFonts w:ascii="宋体" w:hAnsi="宋体"/>
                <w:szCs w:val="21"/>
              </w:rPr>
            </w:pPr>
          </w:p>
        </w:tc>
        <w:tc>
          <w:tcPr>
            <w:tcW w:w="908" w:type="dxa"/>
            <w:vAlign w:val="center"/>
          </w:tcPr>
          <w:p>
            <w:pPr>
              <w:spacing w:line="360" w:lineRule="auto"/>
              <w:jc w:val="center"/>
              <w:rPr>
                <w:rFonts w:ascii="宋体" w:hAnsi="宋体"/>
                <w:szCs w:val="21"/>
              </w:rPr>
            </w:pPr>
          </w:p>
        </w:tc>
        <w:tc>
          <w:tcPr>
            <w:tcW w:w="984" w:type="dxa"/>
            <w:vAlign w:val="center"/>
          </w:tcPr>
          <w:p>
            <w:pPr>
              <w:spacing w:line="360" w:lineRule="auto"/>
              <w:jc w:val="center"/>
              <w:rPr>
                <w:rFonts w:ascii="宋体" w:hAnsi="宋体"/>
                <w:szCs w:val="21"/>
              </w:rPr>
            </w:pPr>
          </w:p>
        </w:tc>
        <w:tc>
          <w:tcPr>
            <w:tcW w:w="1059" w:type="dxa"/>
            <w:vAlign w:val="center"/>
          </w:tcPr>
          <w:p>
            <w:pPr>
              <w:spacing w:line="360" w:lineRule="auto"/>
              <w:jc w:val="center"/>
              <w:rPr>
                <w:rFonts w:ascii="宋体" w:hAnsi="宋体"/>
                <w:szCs w:val="21"/>
              </w:rPr>
            </w:pPr>
          </w:p>
        </w:tc>
        <w:tc>
          <w:tcPr>
            <w:tcW w:w="1059" w:type="dxa"/>
            <w:vAlign w:val="center"/>
          </w:tcPr>
          <w:p>
            <w:pPr>
              <w:spacing w:line="360"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exact"/>
          <w:jc w:val="center"/>
        </w:trPr>
        <w:tc>
          <w:tcPr>
            <w:tcW w:w="756" w:type="dxa"/>
            <w:vAlign w:val="center"/>
          </w:tcPr>
          <w:p>
            <w:pPr>
              <w:spacing w:line="360" w:lineRule="auto"/>
              <w:jc w:val="center"/>
              <w:rPr>
                <w:rFonts w:ascii="宋体" w:hAnsi="宋体"/>
                <w:szCs w:val="21"/>
              </w:rPr>
            </w:pPr>
            <w:r>
              <w:rPr>
                <w:rFonts w:hint="eastAsia" w:ascii="宋体" w:hAnsi="宋体"/>
                <w:szCs w:val="21"/>
              </w:rPr>
              <w:t>22</w:t>
            </w:r>
          </w:p>
        </w:tc>
        <w:tc>
          <w:tcPr>
            <w:tcW w:w="927" w:type="dxa"/>
            <w:vAlign w:val="center"/>
          </w:tcPr>
          <w:p>
            <w:pPr>
              <w:spacing w:line="360" w:lineRule="auto"/>
              <w:jc w:val="center"/>
              <w:rPr>
                <w:rFonts w:ascii="宋体" w:hAnsi="宋体"/>
                <w:szCs w:val="21"/>
              </w:rPr>
            </w:pPr>
            <w:r>
              <w:rPr>
                <w:rFonts w:hint="eastAsia" w:ascii="宋体" w:hAnsi="宋体"/>
                <w:color w:val="000000"/>
                <w:kern w:val="0"/>
                <w:sz w:val="18"/>
                <w:szCs w:val="18"/>
              </w:rPr>
              <w:t>电脑</w:t>
            </w:r>
          </w:p>
        </w:tc>
        <w:tc>
          <w:tcPr>
            <w:tcW w:w="1040" w:type="dxa"/>
            <w:vAlign w:val="center"/>
          </w:tcPr>
          <w:p>
            <w:pPr>
              <w:spacing w:line="360" w:lineRule="auto"/>
              <w:jc w:val="center"/>
              <w:rPr>
                <w:rFonts w:ascii="宋体" w:hAnsi="宋体"/>
                <w:szCs w:val="21"/>
              </w:rPr>
            </w:pPr>
          </w:p>
        </w:tc>
        <w:tc>
          <w:tcPr>
            <w:tcW w:w="1211" w:type="dxa"/>
            <w:vAlign w:val="center"/>
          </w:tcPr>
          <w:p>
            <w:pPr>
              <w:jc w:val="center"/>
              <w:rPr>
                <w:rFonts w:ascii="宋体" w:hAnsi="宋体"/>
                <w:szCs w:val="21"/>
              </w:rPr>
            </w:pPr>
          </w:p>
        </w:tc>
        <w:tc>
          <w:tcPr>
            <w:tcW w:w="1078" w:type="dxa"/>
            <w:vAlign w:val="center"/>
          </w:tcPr>
          <w:p>
            <w:pPr>
              <w:spacing w:line="360" w:lineRule="auto"/>
              <w:jc w:val="center"/>
              <w:rPr>
                <w:rFonts w:ascii="宋体" w:hAnsi="宋体"/>
                <w:szCs w:val="21"/>
              </w:rPr>
            </w:pPr>
          </w:p>
        </w:tc>
        <w:tc>
          <w:tcPr>
            <w:tcW w:w="908" w:type="dxa"/>
            <w:vAlign w:val="center"/>
          </w:tcPr>
          <w:p>
            <w:pPr>
              <w:spacing w:line="360" w:lineRule="auto"/>
              <w:jc w:val="center"/>
              <w:rPr>
                <w:rFonts w:ascii="宋体" w:hAnsi="宋体"/>
                <w:szCs w:val="21"/>
              </w:rPr>
            </w:pPr>
          </w:p>
        </w:tc>
        <w:tc>
          <w:tcPr>
            <w:tcW w:w="984" w:type="dxa"/>
            <w:vAlign w:val="center"/>
          </w:tcPr>
          <w:p>
            <w:pPr>
              <w:spacing w:line="360" w:lineRule="auto"/>
              <w:jc w:val="center"/>
              <w:rPr>
                <w:rFonts w:ascii="宋体" w:hAnsi="宋体"/>
                <w:szCs w:val="21"/>
              </w:rPr>
            </w:pPr>
          </w:p>
        </w:tc>
        <w:tc>
          <w:tcPr>
            <w:tcW w:w="1059" w:type="dxa"/>
            <w:vAlign w:val="center"/>
          </w:tcPr>
          <w:p>
            <w:pPr>
              <w:spacing w:line="360" w:lineRule="auto"/>
              <w:jc w:val="center"/>
              <w:rPr>
                <w:rFonts w:ascii="宋体" w:hAnsi="宋体"/>
                <w:szCs w:val="21"/>
              </w:rPr>
            </w:pPr>
          </w:p>
        </w:tc>
        <w:tc>
          <w:tcPr>
            <w:tcW w:w="1059" w:type="dxa"/>
            <w:vAlign w:val="center"/>
          </w:tcPr>
          <w:p>
            <w:pPr>
              <w:spacing w:line="360"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exact"/>
          <w:jc w:val="center"/>
        </w:trPr>
        <w:tc>
          <w:tcPr>
            <w:tcW w:w="756" w:type="dxa"/>
            <w:vAlign w:val="center"/>
          </w:tcPr>
          <w:p>
            <w:pPr>
              <w:spacing w:line="360" w:lineRule="auto"/>
              <w:jc w:val="center"/>
              <w:rPr>
                <w:rFonts w:ascii="宋体" w:hAnsi="宋体"/>
                <w:szCs w:val="21"/>
              </w:rPr>
            </w:pPr>
            <w:r>
              <w:rPr>
                <w:rFonts w:hint="eastAsia" w:ascii="宋体" w:hAnsi="宋体"/>
                <w:szCs w:val="21"/>
              </w:rPr>
              <w:t>23</w:t>
            </w:r>
          </w:p>
        </w:tc>
        <w:tc>
          <w:tcPr>
            <w:tcW w:w="927" w:type="dxa"/>
            <w:vAlign w:val="center"/>
          </w:tcPr>
          <w:p>
            <w:pPr>
              <w:spacing w:line="360" w:lineRule="auto"/>
              <w:jc w:val="center"/>
              <w:rPr>
                <w:rFonts w:ascii="宋体" w:hAnsi="宋体"/>
                <w:szCs w:val="21"/>
              </w:rPr>
            </w:pPr>
            <w:r>
              <w:rPr>
                <w:rFonts w:hint="eastAsia" w:ascii="宋体" w:hAnsi="宋体"/>
                <w:color w:val="000000"/>
                <w:kern w:val="0"/>
                <w:sz w:val="18"/>
                <w:szCs w:val="18"/>
              </w:rPr>
              <w:t>打印机</w:t>
            </w:r>
          </w:p>
        </w:tc>
        <w:tc>
          <w:tcPr>
            <w:tcW w:w="1040" w:type="dxa"/>
            <w:vAlign w:val="center"/>
          </w:tcPr>
          <w:p>
            <w:pPr>
              <w:spacing w:line="360" w:lineRule="auto"/>
              <w:jc w:val="center"/>
              <w:rPr>
                <w:rFonts w:ascii="宋体" w:hAnsi="宋体"/>
                <w:szCs w:val="21"/>
              </w:rPr>
            </w:pPr>
          </w:p>
        </w:tc>
        <w:tc>
          <w:tcPr>
            <w:tcW w:w="1211" w:type="dxa"/>
            <w:vAlign w:val="center"/>
          </w:tcPr>
          <w:p>
            <w:pPr>
              <w:spacing w:line="360" w:lineRule="auto"/>
              <w:jc w:val="center"/>
              <w:rPr>
                <w:rFonts w:ascii="宋体" w:hAnsi="宋体"/>
                <w:szCs w:val="21"/>
              </w:rPr>
            </w:pPr>
          </w:p>
        </w:tc>
        <w:tc>
          <w:tcPr>
            <w:tcW w:w="1078" w:type="dxa"/>
            <w:vAlign w:val="center"/>
          </w:tcPr>
          <w:p>
            <w:pPr>
              <w:spacing w:line="360" w:lineRule="auto"/>
              <w:jc w:val="center"/>
              <w:rPr>
                <w:rFonts w:ascii="宋体" w:hAnsi="宋体"/>
                <w:szCs w:val="21"/>
              </w:rPr>
            </w:pPr>
          </w:p>
        </w:tc>
        <w:tc>
          <w:tcPr>
            <w:tcW w:w="908" w:type="dxa"/>
            <w:vAlign w:val="center"/>
          </w:tcPr>
          <w:p>
            <w:pPr>
              <w:spacing w:line="360" w:lineRule="auto"/>
              <w:jc w:val="center"/>
              <w:rPr>
                <w:rFonts w:ascii="宋体" w:hAnsi="宋体"/>
                <w:szCs w:val="21"/>
              </w:rPr>
            </w:pPr>
          </w:p>
        </w:tc>
        <w:tc>
          <w:tcPr>
            <w:tcW w:w="984" w:type="dxa"/>
            <w:vAlign w:val="center"/>
          </w:tcPr>
          <w:p>
            <w:pPr>
              <w:spacing w:line="360" w:lineRule="auto"/>
              <w:jc w:val="center"/>
              <w:rPr>
                <w:rFonts w:ascii="宋体" w:hAnsi="宋体"/>
                <w:szCs w:val="21"/>
              </w:rPr>
            </w:pPr>
          </w:p>
        </w:tc>
        <w:tc>
          <w:tcPr>
            <w:tcW w:w="1059" w:type="dxa"/>
            <w:vAlign w:val="center"/>
          </w:tcPr>
          <w:p>
            <w:pPr>
              <w:spacing w:line="360" w:lineRule="auto"/>
              <w:jc w:val="center"/>
              <w:rPr>
                <w:rFonts w:ascii="宋体" w:hAnsi="宋体"/>
                <w:szCs w:val="21"/>
              </w:rPr>
            </w:pPr>
          </w:p>
        </w:tc>
        <w:tc>
          <w:tcPr>
            <w:tcW w:w="1059" w:type="dxa"/>
            <w:vAlign w:val="center"/>
          </w:tcPr>
          <w:p>
            <w:pPr>
              <w:spacing w:line="360"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9" w:hRule="exact"/>
          <w:jc w:val="center"/>
        </w:trPr>
        <w:tc>
          <w:tcPr>
            <w:tcW w:w="756" w:type="dxa"/>
            <w:vAlign w:val="center"/>
          </w:tcPr>
          <w:p>
            <w:pPr>
              <w:spacing w:line="360" w:lineRule="auto"/>
              <w:jc w:val="center"/>
              <w:rPr>
                <w:rFonts w:ascii="宋体" w:hAnsi="宋体"/>
                <w:szCs w:val="21"/>
              </w:rPr>
            </w:pPr>
            <w:r>
              <w:rPr>
                <w:rFonts w:hint="eastAsia" w:ascii="宋体" w:hAnsi="宋体"/>
                <w:szCs w:val="21"/>
              </w:rPr>
              <w:t>24</w:t>
            </w:r>
          </w:p>
        </w:tc>
        <w:tc>
          <w:tcPr>
            <w:tcW w:w="927" w:type="dxa"/>
            <w:vAlign w:val="center"/>
          </w:tcPr>
          <w:p>
            <w:pPr>
              <w:jc w:val="center"/>
              <w:rPr>
                <w:rFonts w:ascii="宋体" w:hAnsi="宋体"/>
                <w:szCs w:val="21"/>
              </w:rPr>
            </w:pPr>
            <w:r>
              <w:rPr>
                <w:rFonts w:hint="eastAsia" w:ascii="宋体" w:hAnsi="宋体"/>
                <w:color w:val="000000"/>
                <w:kern w:val="0"/>
                <w:sz w:val="18"/>
                <w:szCs w:val="18"/>
              </w:rPr>
              <w:t>全自动烘干</w:t>
            </w:r>
            <w:r>
              <w:rPr>
                <w:rFonts w:hint="eastAsia" w:ascii="宋体" w:hAnsi="宋体"/>
                <w:color w:val="000000"/>
                <w:kern w:val="0"/>
                <w:sz w:val="18"/>
                <w:szCs w:val="18"/>
              </w:rPr>
              <w:br w:type="textWrapping"/>
            </w:r>
            <w:r>
              <w:rPr>
                <w:rFonts w:hint="eastAsia" w:ascii="宋体" w:hAnsi="宋体"/>
                <w:color w:val="000000"/>
                <w:kern w:val="0"/>
                <w:sz w:val="18"/>
                <w:szCs w:val="18"/>
              </w:rPr>
              <w:t>洗衣机</w:t>
            </w:r>
          </w:p>
        </w:tc>
        <w:tc>
          <w:tcPr>
            <w:tcW w:w="1040" w:type="dxa"/>
            <w:vAlign w:val="center"/>
          </w:tcPr>
          <w:p>
            <w:pPr>
              <w:spacing w:line="360" w:lineRule="auto"/>
              <w:jc w:val="center"/>
              <w:rPr>
                <w:rFonts w:ascii="宋体" w:hAnsi="宋体"/>
                <w:szCs w:val="21"/>
              </w:rPr>
            </w:pPr>
          </w:p>
        </w:tc>
        <w:tc>
          <w:tcPr>
            <w:tcW w:w="1211" w:type="dxa"/>
            <w:vAlign w:val="center"/>
          </w:tcPr>
          <w:p>
            <w:pPr>
              <w:jc w:val="center"/>
              <w:rPr>
                <w:rFonts w:ascii="宋体" w:hAnsi="宋体"/>
                <w:szCs w:val="21"/>
              </w:rPr>
            </w:pPr>
          </w:p>
        </w:tc>
        <w:tc>
          <w:tcPr>
            <w:tcW w:w="1078" w:type="dxa"/>
            <w:vAlign w:val="center"/>
          </w:tcPr>
          <w:p>
            <w:pPr>
              <w:spacing w:line="360" w:lineRule="auto"/>
              <w:jc w:val="center"/>
              <w:rPr>
                <w:rFonts w:ascii="宋体" w:hAnsi="宋体"/>
                <w:szCs w:val="21"/>
              </w:rPr>
            </w:pPr>
          </w:p>
        </w:tc>
        <w:tc>
          <w:tcPr>
            <w:tcW w:w="908" w:type="dxa"/>
            <w:vAlign w:val="center"/>
          </w:tcPr>
          <w:p>
            <w:pPr>
              <w:spacing w:line="360" w:lineRule="auto"/>
              <w:jc w:val="center"/>
              <w:rPr>
                <w:rFonts w:ascii="宋体" w:hAnsi="宋体"/>
                <w:szCs w:val="21"/>
              </w:rPr>
            </w:pPr>
          </w:p>
        </w:tc>
        <w:tc>
          <w:tcPr>
            <w:tcW w:w="984" w:type="dxa"/>
            <w:vAlign w:val="center"/>
          </w:tcPr>
          <w:p>
            <w:pPr>
              <w:spacing w:line="360" w:lineRule="auto"/>
              <w:jc w:val="center"/>
              <w:rPr>
                <w:rFonts w:ascii="宋体" w:hAnsi="宋体"/>
                <w:szCs w:val="21"/>
              </w:rPr>
            </w:pPr>
          </w:p>
        </w:tc>
        <w:tc>
          <w:tcPr>
            <w:tcW w:w="1059" w:type="dxa"/>
            <w:vAlign w:val="center"/>
          </w:tcPr>
          <w:p>
            <w:pPr>
              <w:spacing w:line="360" w:lineRule="auto"/>
              <w:jc w:val="center"/>
              <w:rPr>
                <w:rFonts w:ascii="宋体" w:hAnsi="宋体"/>
                <w:szCs w:val="21"/>
              </w:rPr>
            </w:pPr>
          </w:p>
        </w:tc>
        <w:tc>
          <w:tcPr>
            <w:tcW w:w="1059" w:type="dxa"/>
            <w:vAlign w:val="center"/>
          </w:tcPr>
          <w:p>
            <w:pPr>
              <w:spacing w:line="360"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9" w:hRule="exact"/>
          <w:jc w:val="center"/>
        </w:trPr>
        <w:tc>
          <w:tcPr>
            <w:tcW w:w="756" w:type="dxa"/>
            <w:vAlign w:val="center"/>
          </w:tcPr>
          <w:p>
            <w:pPr>
              <w:spacing w:line="360" w:lineRule="auto"/>
              <w:jc w:val="center"/>
              <w:rPr>
                <w:rFonts w:ascii="宋体" w:hAnsi="宋体"/>
                <w:szCs w:val="21"/>
              </w:rPr>
            </w:pPr>
            <w:r>
              <w:rPr>
                <w:rFonts w:hint="eastAsia" w:ascii="宋体" w:hAnsi="宋体"/>
                <w:szCs w:val="21"/>
              </w:rPr>
              <w:t>25</w:t>
            </w:r>
          </w:p>
        </w:tc>
        <w:tc>
          <w:tcPr>
            <w:tcW w:w="927" w:type="dxa"/>
            <w:vAlign w:val="center"/>
          </w:tcPr>
          <w:p>
            <w:pPr>
              <w:jc w:val="center"/>
              <w:rPr>
                <w:rFonts w:ascii="宋体" w:hAnsi="宋体"/>
                <w:color w:val="000000"/>
                <w:kern w:val="0"/>
                <w:sz w:val="18"/>
                <w:szCs w:val="18"/>
              </w:rPr>
            </w:pPr>
            <w:r>
              <w:rPr>
                <w:rFonts w:hint="eastAsia" w:ascii="宋体" w:hAnsi="宋体"/>
                <w:color w:val="000000"/>
                <w:kern w:val="0"/>
                <w:sz w:val="18"/>
                <w:szCs w:val="18"/>
              </w:rPr>
              <w:t>PCR实验室环境工作站</w:t>
            </w:r>
          </w:p>
        </w:tc>
        <w:tc>
          <w:tcPr>
            <w:tcW w:w="1040" w:type="dxa"/>
            <w:vAlign w:val="center"/>
          </w:tcPr>
          <w:p>
            <w:pPr>
              <w:spacing w:line="360" w:lineRule="auto"/>
              <w:jc w:val="center"/>
              <w:rPr>
                <w:rFonts w:ascii="宋体" w:hAnsi="宋体"/>
                <w:szCs w:val="21"/>
              </w:rPr>
            </w:pPr>
          </w:p>
        </w:tc>
        <w:tc>
          <w:tcPr>
            <w:tcW w:w="1211" w:type="dxa"/>
            <w:vAlign w:val="center"/>
          </w:tcPr>
          <w:p>
            <w:pPr>
              <w:jc w:val="center"/>
              <w:rPr>
                <w:rFonts w:ascii="宋体" w:hAnsi="宋体"/>
                <w:szCs w:val="21"/>
              </w:rPr>
            </w:pPr>
          </w:p>
        </w:tc>
        <w:tc>
          <w:tcPr>
            <w:tcW w:w="1078" w:type="dxa"/>
            <w:vAlign w:val="center"/>
          </w:tcPr>
          <w:p>
            <w:pPr>
              <w:spacing w:line="360" w:lineRule="auto"/>
              <w:jc w:val="center"/>
              <w:rPr>
                <w:rFonts w:ascii="宋体" w:hAnsi="宋体"/>
                <w:szCs w:val="21"/>
              </w:rPr>
            </w:pPr>
          </w:p>
        </w:tc>
        <w:tc>
          <w:tcPr>
            <w:tcW w:w="908" w:type="dxa"/>
            <w:vAlign w:val="center"/>
          </w:tcPr>
          <w:p>
            <w:pPr>
              <w:spacing w:line="360" w:lineRule="auto"/>
              <w:jc w:val="center"/>
              <w:rPr>
                <w:rFonts w:ascii="宋体" w:hAnsi="宋体"/>
                <w:szCs w:val="21"/>
              </w:rPr>
            </w:pPr>
          </w:p>
        </w:tc>
        <w:tc>
          <w:tcPr>
            <w:tcW w:w="984" w:type="dxa"/>
            <w:vAlign w:val="center"/>
          </w:tcPr>
          <w:p>
            <w:pPr>
              <w:spacing w:line="360" w:lineRule="auto"/>
              <w:jc w:val="center"/>
              <w:rPr>
                <w:rFonts w:ascii="宋体" w:hAnsi="宋体"/>
                <w:szCs w:val="21"/>
              </w:rPr>
            </w:pPr>
          </w:p>
        </w:tc>
        <w:tc>
          <w:tcPr>
            <w:tcW w:w="1059" w:type="dxa"/>
            <w:vAlign w:val="center"/>
          </w:tcPr>
          <w:p>
            <w:pPr>
              <w:spacing w:line="360" w:lineRule="auto"/>
              <w:jc w:val="center"/>
              <w:rPr>
                <w:rFonts w:ascii="宋体" w:hAnsi="宋体"/>
                <w:szCs w:val="21"/>
              </w:rPr>
            </w:pPr>
          </w:p>
        </w:tc>
        <w:tc>
          <w:tcPr>
            <w:tcW w:w="1059" w:type="dxa"/>
            <w:vAlign w:val="center"/>
          </w:tcPr>
          <w:p>
            <w:pPr>
              <w:spacing w:line="360"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exact"/>
          <w:jc w:val="center"/>
        </w:trPr>
        <w:tc>
          <w:tcPr>
            <w:tcW w:w="7963" w:type="dxa"/>
            <w:gridSpan w:val="8"/>
            <w:vAlign w:val="center"/>
          </w:tcPr>
          <w:p>
            <w:pPr>
              <w:spacing w:line="360" w:lineRule="auto"/>
              <w:rPr>
                <w:rFonts w:ascii="宋体" w:hAnsi="宋体"/>
                <w:szCs w:val="21"/>
              </w:rPr>
            </w:pPr>
            <w:r>
              <w:rPr>
                <w:rFonts w:hint="eastAsia" w:ascii="宋体" w:hAnsi="宋体"/>
                <w:szCs w:val="21"/>
              </w:rPr>
              <w:t>投标总价（大写）：                               投标总价（小写）：</w:t>
            </w:r>
          </w:p>
        </w:tc>
        <w:tc>
          <w:tcPr>
            <w:tcW w:w="1059" w:type="dxa"/>
            <w:vAlign w:val="center"/>
          </w:tcPr>
          <w:p>
            <w:pPr>
              <w:spacing w:line="360" w:lineRule="auto"/>
              <w:rPr>
                <w:rFonts w:ascii="宋体" w:hAnsi="宋体"/>
                <w:szCs w:val="21"/>
              </w:rPr>
            </w:pPr>
          </w:p>
        </w:tc>
      </w:tr>
    </w:tbl>
    <w:p>
      <w:pPr>
        <w:spacing w:line="360" w:lineRule="auto"/>
        <w:ind w:firstLine="482" w:firstLineChars="200"/>
        <w:rPr>
          <w:rFonts w:ascii="宋体" w:hAnsi="宋体"/>
          <w:b/>
          <w:bCs/>
          <w:szCs w:val="21"/>
        </w:rPr>
      </w:pPr>
      <w:r>
        <w:rPr>
          <w:rFonts w:hint="eastAsia" w:ascii="宋体" w:hAnsi="宋体"/>
          <w:b/>
          <w:bCs/>
          <w:szCs w:val="21"/>
        </w:rPr>
        <w:t>注：以上所投产品的价格中均包含</w:t>
      </w:r>
      <w:r>
        <w:rPr>
          <w:rFonts w:hint="eastAsia" w:ascii="宋体" w:hAnsi="宋体"/>
          <w:b/>
          <w:bCs/>
          <w:kern w:val="0"/>
          <w:szCs w:val="21"/>
        </w:rPr>
        <w:t>本招标采购对象及与之相关的</w:t>
      </w:r>
      <w:r>
        <w:rPr>
          <w:rFonts w:hint="eastAsia" w:ascii="宋体" w:hAnsi="宋体"/>
          <w:b/>
          <w:bCs/>
          <w:szCs w:val="21"/>
        </w:rPr>
        <w:t>设计、制造、包装、运输、装卸、安装、附件、</w:t>
      </w:r>
      <w:r>
        <w:rPr>
          <w:rFonts w:hint="eastAsia" w:ascii="宋体" w:hAnsi="宋体"/>
          <w:b/>
          <w:bCs/>
          <w:kern w:val="0"/>
          <w:szCs w:val="21"/>
        </w:rPr>
        <w:t>调试、</w:t>
      </w:r>
      <w:r>
        <w:rPr>
          <w:rFonts w:hint="eastAsia" w:ascii="宋体" w:hAnsi="宋体"/>
          <w:b/>
          <w:bCs/>
          <w:szCs w:val="21"/>
        </w:rPr>
        <w:t>质量检验、各项税费、保险费、意外事故等</w:t>
      </w:r>
      <w:r>
        <w:rPr>
          <w:rFonts w:hint="eastAsia" w:ascii="宋体" w:hAnsi="宋体"/>
          <w:b/>
          <w:bCs/>
          <w:kern w:val="0"/>
          <w:szCs w:val="21"/>
        </w:rPr>
        <w:t>验收合格前全部</w:t>
      </w:r>
      <w:r>
        <w:rPr>
          <w:rFonts w:hint="eastAsia" w:ascii="宋体" w:hAnsi="宋体"/>
          <w:b/>
          <w:bCs/>
          <w:szCs w:val="21"/>
        </w:rPr>
        <w:t>费用</w:t>
      </w:r>
      <w:r>
        <w:rPr>
          <w:rFonts w:hint="eastAsia" w:ascii="宋体" w:hAnsi="宋体"/>
          <w:b/>
          <w:bCs/>
          <w:kern w:val="0"/>
          <w:szCs w:val="21"/>
        </w:rPr>
        <w:t>，以及备品备件、专用工具、技术培训、技术资料、保修期内的各项保修和系统维护、相应的伴随服务和售后服务费用等。</w:t>
      </w:r>
    </w:p>
    <w:p>
      <w:pPr>
        <w:spacing w:line="360" w:lineRule="auto"/>
        <w:ind w:firstLine="480" w:firstLineChars="200"/>
        <w:rPr>
          <w:rFonts w:ascii="宋体" w:hAnsi="宋体"/>
          <w:szCs w:val="21"/>
        </w:rPr>
      </w:pPr>
    </w:p>
    <w:p>
      <w:pPr>
        <w:spacing w:line="360" w:lineRule="auto"/>
        <w:ind w:firstLine="480" w:firstLineChars="200"/>
        <w:rPr>
          <w:rFonts w:ascii="宋体" w:hAnsi="宋体"/>
          <w:szCs w:val="21"/>
        </w:rPr>
      </w:pPr>
      <w:r>
        <w:rPr>
          <w:rFonts w:hint="eastAsia" w:ascii="宋体" w:hAnsi="宋体"/>
          <w:szCs w:val="21"/>
        </w:rPr>
        <w:t>投标人名称（全称并加盖公章）：</w:t>
      </w:r>
    </w:p>
    <w:p>
      <w:pPr>
        <w:spacing w:line="360" w:lineRule="auto"/>
        <w:ind w:firstLine="480" w:firstLineChars="200"/>
        <w:rPr>
          <w:rFonts w:ascii="宋体" w:hAnsi="宋体"/>
          <w:szCs w:val="21"/>
        </w:rPr>
      </w:pPr>
      <w:r>
        <w:rPr>
          <w:rFonts w:hint="eastAsia" w:ascii="宋体" w:hAnsi="宋体"/>
          <w:szCs w:val="21"/>
        </w:rPr>
        <w:t>法定代表人或其委托代理人（签字）：</w:t>
      </w:r>
    </w:p>
    <w:p>
      <w:pPr>
        <w:spacing w:line="360" w:lineRule="auto"/>
        <w:ind w:firstLine="480" w:firstLineChars="200"/>
        <w:rPr>
          <w:rFonts w:ascii="宋体" w:hAnsi="宋体"/>
          <w:szCs w:val="21"/>
        </w:rPr>
      </w:pPr>
    </w:p>
    <w:p>
      <w:pPr>
        <w:spacing w:line="360" w:lineRule="auto"/>
        <w:ind w:firstLine="480" w:firstLineChars="200"/>
        <w:rPr>
          <w:rFonts w:ascii="宋体" w:hAnsi="宋体"/>
          <w:szCs w:val="21"/>
        </w:rPr>
      </w:pPr>
    </w:p>
    <w:p>
      <w:pPr>
        <w:spacing w:line="360" w:lineRule="auto"/>
        <w:ind w:firstLine="480" w:firstLineChars="200"/>
        <w:jc w:val="right"/>
        <w:rPr>
          <w:rFonts w:ascii="宋体" w:hAnsi="宋体"/>
          <w:szCs w:val="21"/>
        </w:rPr>
      </w:pPr>
      <w:r>
        <w:rPr>
          <w:rFonts w:hint="eastAsia" w:ascii="宋体" w:hAnsi="宋体"/>
          <w:szCs w:val="21"/>
        </w:rPr>
        <w:t xml:space="preserve">    年  月  日</w:t>
      </w:r>
    </w:p>
    <w:p>
      <w:pPr>
        <w:spacing w:line="360" w:lineRule="auto"/>
        <w:rPr>
          <w:rFonts w:ascii="宋体" w:hAnsi="宋体"/>
          <w:b/>
          <w:highlight w:val="yellow"/>
        </w:rPr>
      </w:pPr>
    </w:p>
    <w:p>
      <w:pPr>
        <w:spacing w:line="360" w:lineRule="auto"/>
        <w:rPr>
          <w:rFonts w:ascii="宋体" w:hAnsi="宋体"/>
          <w:b/>
          <w:highlight w:val="yellow"/>
        </w:rPr>
      </w:pPr>
    </w:p>
    <w:p>
      <w:pPr>
        <w:spacing w:line="360" w:lineRule="auto"/>
        <w:rPr>
          <w:rFonts w:ascii="宋体" w:hAnsi="宋体"/>
          <w:b/>
          <w:highlight w:val="yellow"/>
        </w:rPr>
      </w:pPr>
    </w:p>
    <w:p>
      <w:pPr>
        <w:spacing w:line="360" w:lineRule="auto"/>
        <w:rPr>
          <w:rFonts w:ascii="宋体" w:hAnsi="宋体"/>
          <w:b/>
          <w:highlight w:val="yellow"/>
        </w:rPr>
      </w:pPr>
    </w:p>
    <w:p>
      <w:pPr>
        <w:spacing w:line="360" w:lineRule="auto"/>
        <w:rPr>
          <w:rFonts w:ascii="宋体" w:hAnsi="宋体"/>
          <w:b/>
          <w:highlight w:val="yellow"/>
        </w:rPr>
      </w:pPr>
    </w:p>
    <w:p>
      <w:pPr>
        <w:spacing w:line="360" w:lineRule="auto"/>
        <w:rPr>
          <w:rFonts w:ascii="宋体" w:hAnsi="宋体"/>
          <w:b/>
          <w:highlight w:val="yellow"/>
        </w:rPr>
      </w:pPr>
    </w:p>
    <w:p>
      <w:pPr>
        <w:pStyle w:val="26"/>
        <w:ind w:firstLine="480"/>
      </w:pPr>
    </w:p>
    <w:p>
      <w:pPr>
        <w:pStyle w:val="26"/>
        <w:ind w:firstLine="480"/>
      </w:pPr>
    </w:p>
    <w:p>
      <w:pPr>
        <w:pStyle w:val="26"/>
        <w:ind w:firstLine="480"/>
      </w:pPr>
    </w:p>
    <w:p>
      <w:pPr>
        <w:numPr>
          <w:ilvl w:val="3"/>
          <w:numId w:val="48"/>
        </w:numPr>
        <w:spacing w:line="360" w:lineRule="auto"/>
        <w:jc w:val="center"/>
        <w:rPr>
          <w:rFonts w:ascii="宋体" w:hAnsi="宋体"/>
          <w:b/>
          <w:bCs/>
          <w:sz w:val="32"/>
          <w:szCs w:val="32"/>
        </w:rPr>
      </w:pPr>
      <w:r>
        <w:rPr>
          <w:rFonts w:hint="eastAsia" w:ascii="宋体" w:hAnsi="宋体"/>
          <w:b/>
          <w:bCs/>
          <w:sz w:val="32"/>
          <w:szCs w:val="32"/>
        </w:rPr>
        <w:t>商务响应表</w:t>
      </w:r>
    </w:p>
    <w:p>
      <w:pPr>
        <w:spacing w:line="360" w:lineRule="auto"/>
        <w:rPr>
          <w:rFonts w:ascii="宋体" w:hAnsi="宋体"/>
          <w:szCs w:val="21"/>
        </w:rPr>
      </w:pPr>
      <w:r>
        <w:rPr>
          <w:rFonts w:hint="eastAsia" w:ascii="宋体" w:hAnsi="宋体"/>
          <w:szCs w:val="21"/>
        </w:rPr>
        <w:t>项目名称：                                        交易编号：</w:t>
      </w:r>
    </w:p>
    <w:tbl>
      <w:tblPr>
        <w:tblStyle w:val="36"/>
        <w:tblW w:w="0" w:type="auto"/>
        <w:tblInd w:w="190"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108" w:type="dxa"/>
          <w:bottom w:w="0" w:type="dxa"/>
          <w:right w:w="108" w:type="dxa"/>
        </w:tblCellMar>
      </w:tblPr>
      <w:tblGrid>
        <w:gridCol w:w="1358"/>
        <w:gridCol w:w="2700"/>
        <w:gridCol w:w="1260"/>
        <w:gridCol w:w="4182"/>
      </w:tblGrid>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1358" w:type="dxa"/>
            <w:tcBorders>
              <w:top w:val="single" w:color="000000" w:sz="4" w:space="0"/>
              <w:left w:val="single" w:color="000000" w:sz="4" w:space="0"/>
              <w:bottom w:val="single" w:color="auto" w:sz="4" w:space="0"/>
              <w:right w:val="single" w:color="000000" w:sz="4" w:space="0"/>
            </w:tcBorders>
            <w:tcMar>
              <w:top w:w="0" w:type="dxa"/>
              <w:left w:w="108" w:type="dxa"/>
              <w:bottom w:w="0" w:type="dxa"/>
              <w:right w:w="108" w:type="dxa"/>
            </w:tcMar>
            <w:vAlign w:val="center"/>
          </w:tcPr>
          <w:p>
            <w:pPr>
              <w:spacing w:line="360" w:lineRule="auto"/>
              <w:jc w:val="center"/>
              <w:rPr>
                <w:rFonts w:ascii="宋体" w:hAnsi="宋体"/>
                <w:szCs w:val="21"/>
              </w:rPr>
            </w:pPr>
            <w:r>
              <w:rPr>
                <w:rFonts w:hint="eastAsia" w:ascii="宋体" w:hAnsi="宋体"/>
                <w:szCs w:val="21"/>
              </w:rPr>
              <w:t>序号</w:t>
            </w:r>
          </w:p>
        </w:tc>
        <w:tc>
          <w:tcPr>
            <w:tcW w:w="2700" w:type="dxa"/>
            <w:tcBorders>
              <w:top w:val="single" w:color="000000" w:sz="4" w:space="0"/>
              <w:left w:val="single" w:color="000000" w:sz="4" w:space="0"/>
              <w:bottom w:val="single" w:color="auto" w:sz="4" w:space="0"/>
              <w:right w:val="single" w:color="000000" w:sz="4" w:space="0"/>
            </w:tcBorders>
            <w:tcMar>
              <w:top w:w="0" w:type="dxa"/>
              <w:left w:w="108" w:type="dxa"/>
              <w:bottom w:w="0" w:type="dxa"/>
              <w:right w:w="108" w:type="dxa"/>
            </w:tcMar>
            <w:vAlign w:val="center"/>
          </w:tcPr>
          <w:p>
            <w:pPr>
              <w:spacing w:line="360" w:lineRule="auto"/>
              <w:jc w:val="center"/>
              <w:rPr>
                <w:rFonts w:ascii="宋体" w:hAnsi="宋体"/>
                <w:szCs w:val="21"/>
              </w:rPr>
            </w:pPr>
            <w:r>
              <w:rPr>
                <w:rFonts w:hint="eastAsia" w:ascii="宋体" w:hAnsi="宋体"/>
                <w:szCs w:val="21"/>
              </w:rPr>
              <w:t>招标文件要求</w:t>
            </w:r>
          </w:p>
        </w:tc>
        <w:tc>
          <w:tcPr>
            <w:tcW w:w="1260" w:type="dxa"/>
            <w:tcBorders>
              <w:top w:val="single" w:color="000000" w:sz="4" w:space="0"/>
              <w:left w:val="single" w:color="000000" w:sz="4" w:space="0"/>
              <w:bottom w:val="single" w:color="auto" w:sz="4" w:space="0"/>
              <w:right w:val="single" w:color="000000" w:sz="4" w:space="0"/>
            </w:tcBorders>
            <w:tcMar>
              <w:top w:w="0" w:type="dxa"/>
              <w:left w:w="108" w:type="dxa"/>
              <w:bottom w:w="0" w:type="dxa"/>
              <w:right w:w="108" w:type="dxa"/>
            </w:tcMar>
            <w:vAlign w:val="center"/>
          </w:tcPr>
          <w:p>
            <w:pPr>
              <w:spacing w:line="360" w:lineRule="auto"/>
              <w:jc w:val="center"/>
              <w:rPr>
                <w:rFonts w:ascii="宋体" w:hAnsi="宋体"/>
                <w:szCs w:val="21"/>
              </w:rPr>
            </w:pPr>
            <w:r>
              <w:rPr>
                <w:rFonts w:hint="eastAsia" w:ascii="宋体" w:hAnsi="宋体"/>
                <w:szCs w:val="21"/>
              </w:rPr>
              <w:t>是否响应</w:t>
            </w:r>
          </w:p>
        </w:tc>
        <w:tc>
          <w:tcPr>
            <w:tcW w:w="4182" w:type="dxa"/>
            <w:tcBorders>
              <w:top w:val="single" w:color="000000" w:sz="4" w:space="0"/>
              <w:left w:val="single" w:color="000000" w:sz="4" w:space="0"/>
              <w:bottom w:val="single" w:color="auto" w:sz="4" w:space="0"/>
              <w:right w:val="single" w:color="000000" w:sz="4" w:space="0"/>
            </w:tcBorders>
            <w:tcMar>
              <w:top w:w="0" w:type="dxa"/>
              <w:left w:w="108" w:type="dxa"/>
              <w:bottom w:w="0" w:type="dxa"/>
              <w:right w:w="108" w:type="dxa"/>
            </w:tcMar>
            <w:vAlign w:val="center"/>
          </w:tcPr>
          <w:p>
            <w:pPr>
              <w:spacing w:line="360" w:lineRule="auto"/>
              <w:jc w:val="center"/>
              <w:rPr>
                <w:rFonts w:ascii="宋体" w:hAnsi="宋体"/>
                <w:szCs w:val="21"/>
              </w:rPr>
            </w:pPr>
            <w:r>
              <w:rPr>
                <w:rFonts w:hint="eastAsia" w:ascii="宋体" w:hAnsi="宋体"/>
                <w:szCs w:val="21"/>
              </w:rPr>
              <w:t>投标人的承诺或说明</w:t>
            </w: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850" w:hRule="exact"/>
        </w:trPr>
        <w:tc>
          <w:tcPr>
            <w:tcW w:w="135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napToGrid w:val="0"/>
              <w:spacing w:before="156" w:line="240" w:lineRule="exact"/>
              <w:jc w:val="center"/>
              <w:rPr>
                <w:rFonts w:ascii="宋体" w:hAnsi="宋体"/>
                <w:szCs w:val="21"/>
              </w:rPr>
            </w:pPr>
          </w:p>
        </w:tc>
        <w:tc>
          <w:tcPr>
            <w:tcW w:w="2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240" w:lineRule="exact"/>
              <w:jc w:val="center"/>
              <w:textAlignment w:val="top"/>
              <w:rPr>
                <w:rFonts w:ascii="宋体" w:hAnsi="宋体"/>
                <w:szCs w:val="21"/>
              </w:rPr>
            </w:pPr>
          </w:p>
        </w:tc>
        <w:tc>
          <w:tcPr>
            <w:tcW w:w="126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240" w:lineRule="exact"/>
              <w:jc w:val="center"/>
              <w:textAlignment w:val="top"/>
              <w:rPr>
                <w:rFonts w:ascii="宋体" w:hAnsi="宋体"/>
                <w:szCs w:val="21"/>
              </w:rPr>
            </w:pPr>
          </w:p>
        </w:tc>
        <w:tc>
          <w:tcPr>
            <w:tcW w:w="418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240" w:lineRule="exact"/>
              <w:jc w:val="center"/>
              <w:textAlignment w:val="top"/>
              <w:rPr>
                <w:rFonts w:ascii="宋体" w:hAnsi="宋体"/>
                <w:szCs w:val="21"/>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850" w:hRule="exact"/>
        </w:trPr>
        <w:tc>
          <w:tcPr>
            <w:tcW w:w="135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napToGrid w:val="0"/>
              <w:spacing w:before="156" w:line="240" w:lineRule="exact"/>
              <w:jc w:val="center"/>
              <w:rPr>
                <w:rFonts w:ascii="宋体" w:hAnsi="宋体"/>
                <w:szCs w:val="21"/>
              </w:rPr>
            </w:pPr>
          </w:p>
        </w:tc>
        <w:tc>
          <w:tcPr>
            <w:tcW w:w="2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240" w:lineRule="exact"/>
              <w:jc w:val="center"/>
              <w:textAlignment w:val="top"/>
              <w:rPr>
                <w:rFonts w:ascii="宋体" w:hAnsi="宋体"/>
                <w:szCs w:val="21"/>
              </w:rPr>
            </w:pPr>
          </w:p>
        </w:tc>
        <w:tc>
          <w:tcPr>
            <w:tcW w:w="126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240" w:lineRule="exact"/>
              <w:jc w:val="center"/>
              <w:textAlignment w:val="top"/>
              <w:rPr>
                <w:rFonts w:ascii="宋体" w:hAnsi="宋体"/>
                <w:szCs w:val="21"/>
              </w:rPr>
            </w:pPr>
          </w:p>
        </w:tc>
        <w:tc>
          <w:tcPr>
            <w:tcW w:w="418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240" w:lineRule="exact"/>
              <w:jc w:val="center"/>
              <w:textAlignment w:val="top"/>
              <w:rPr>
                <w:rFonts w:ascii="宋体" w:hAnsi="宋体"/>
                <w:szCs w:val="21"/>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850" w:hRule="exact"/>
        </w:trPr>
        <w:tc>
          <w:tcPr>
            <w:tcW w:w="1358" w:type="dxa"/>
            <w:tcBorders>
              <w:top w:val="single" w:color="auto"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autoSpaceDN w:val="0"/>
              <w:snapToGrid w:val="0"/>
              <w:spacing w:before="156" w:line="240" w:lineRule="exact"/>
              <w:jc w:val="center"/>
              <w:rPr>
                <w:rFonts w:ascii="宋体" w:hAnsi="宋体"/>
                <w:szCs w:val="21"/>
              </w:rPr>
            </w:pPr>
          </w:p>
        </w:tc>
        <w:tc>
          <w:tcPr>
            <w:tcW w:w="2700" w:type="dxa"/>
            <w:tcBorders>
              <w:top w:val="single" w:color="auto"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autoSpaceDN w:val="0"/>
              <w:spacing w:line="240" w:lineRule="exact"/>
              <w:jc w:val="center"/>
              <w:textAlignment w:val="top"/>
              <w:rPr>
                <w:rFonts w:ascii="宋体" w:hAnsi="宋体"/>
                <w:szCs w:val="21"/>
              </w:rPr>
            </w:pPr>
          </w:p>
        </w:tc>
        <w:tc>
          <w:tcPr>
            <w:tcW w:w="1260" w:type="dxa"/>
            <w:tcBorders>
              <w:top w:val="single" w:color="auto"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autoSpaceDN w:val="0"/>
              <w:spacing w:line="240" w:lineRule="exact"/>
              <w:jc w:val="center"/>
              <w:textAlignment w:val="top"/>
              <w:rPr>
                <w:rFonts w:ascii="宋体" w:hAnsi="宋体"/>
                <w:szCs w:val="21"/>
              </w:rPr>
            </w:pPr>
          </w:p>
        </w:tc>
        <w:tc>
          <w:tcPr>
            <w:tcW w:w="4182" w:type="dxa"/>
            <w:tcBorders>
              <w:top w:val="single" w:color="auto"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autoSpaceDN w:val="0"/>
              <w:spacing w:line="240" w:lineRule="exact"/>
              <w:jc w:val="center"/>
              <w:textAlignment w:val="top"/>
              <w:rPr>
                <w:rFonts w:ascii="宋体" w:hAnsi="宋体"/>
                <w:szCs w:val="21"/>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850" w:hRule="exact"/>
        </w:trPr>
        <w:tc>
          <w:tcPr>
            <w:tcW w:w="1358"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autoSpaceDN w:val="0"/>
              <w:snapToGrid w:val="0"/>
              <w:spacing w:before="156" w:line="240" w:lineRule="exact"/>
              <w:jc w:val="center"/>
              <w:rPr>
                <w:rFonts w:ascii="宋体" w:hAnsi="宋体"/>
                <w:szCs w:val="21"/>
              </w:rPr>
            </w:pPr>
          </w:p>
        </w:tc>
        <w:tc>
          <w:tcPr>
            <w:tcW w:w="270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autoSpaceDN w:val="0"/>
              <w:spacing w:line="240" w:lineRule="exact"/>
              <w:jc w:val="center"/>
              <w:textAlignment w:val="top"/>
              <w:rPr>
                <w:rFonts w:ascii="宋体" w:hAnsi="宋体"/>
                <w:szCs w:val="21"/>
              </w:rPr>
            </w:pPr>
          </w:p>
        </w:tc>
        <w:tc>
          <w:tcPr>
            <w:tcW w:w="126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autoSpaceDN w:val="0"/>
              <w:spacing w:line="240" w:lineRule="exact"/>
              <w:jc w:val="center"/>
              <w:textAlignment w:val="top"/>
              <w:rPr>
                <w:rFonts w:ascii="宋体" w:hAnsi="宋体"/>
                <w:szCs w:val="21"/>
              </w:rPr>
            </w:pPr>
          </w:p>
        </w:tc>
        <w:tc>
          <w:tcPr>
            <w:tcW w:w="4182"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autoSpaceDN w:val="0"/>
              <w:spacing w:line="240" w:lineRule="exact"/>
              <w:jc w:val="center"/>
              <w:textAlignment w:val="top"/>
              <w:rPr>
                <w:rFonts w:ascii="宋体" w:hAnsi="宋体"/>
                <w:szCs w:val="21"/>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850" w:hRule="exact"/>
        </w:trPr>
        <w:tc>
          <w:tcPr>
            <w:tcW w:w="1358"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autoSpaceDN w:val="0"/>
              <w:snapToGrid w:val="0"/>
              <w:spacing w:before="156" w:line="240" w:lineRule="exact"/>
              <w:jc w:val="center"/>
              <w:rPr>
                <w:rFonts w:ascii="宋体" w:hAnsi="宋体"/>
                <w:szCs w:val="21"/>
              </w:rPr>
            </w:pPr>
          </w:p>
        </w:tc>
        <w:tc>
          <w:tcPr>
            <w:tcW w:w="270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autoSpaceDN w:val="0"/>
              <w:spacing w:line="240" w:lineRule="exact"/>
              <w:jc w:val="center"/>
              <w:textAlignment w:val="top"/>
              <w:rPr>
                <w:rFonts w:ascii="宋体" w:hAnsi="宋体"/>
                <w:szCs w:val="21"/>
              </w:rPr>
            </w:pPr>
          </w:p>
        </w:tc>
        <w:tc>
          <w:tcPr>
            <w:tcW w:w="126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autoSpaceDN w:val="0"/>
              <w:spacing w:line="240" w:lineRule="exact"/>
              <w:jc w:val="center"/>
              <w:textAlignment w:val="top"/>
              <w:rPr>
                <w:rFonts w:ascii="宋体" w:hAnsi="宋体"/>
                <w:szCs w:val="21"/>
              </w:rPr>
            </w:pPr>
          </w:p>
        </w:tc>
        <w:tc>
          <w:tcPr>
            <w:tcW w:w="4182"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autoSpaceDN w:val="0"/>
              <w:spacing w:line="240" w:lineRule="exact"/>
              <w:jc w:val="center"/>
              <w:textAlignment w:val="top"/>
              <w:rPr>
                <w:rFonts w:ascii="宋体" w:hAnsi="宋体"/>
                <w:szCs w:val="21"/>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850" w:hRule="exact"/>
        </w:trPr>
        <w:tc>
          <w:tcPr>
            <w:tcW w:w="1358"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autoSpaceDN w:val="0"/>
              <w:snapToGrid w:val="0"/>
              <w:spacing w:before="156" w:line="240" w:lineRule="exact"/>
              <w:jc w:val="center"/>
              <w:rPr>
                <w:rFonts w:ascii="宋体" w:hAnsi="宋体"/>
                <w:szCs w:val="21"/>
              </w:rPr>
            </w:pPr>
          </w:p>
        </w:tc>
        <w:tc>
          <w:tcPr>
            <w:tcW w:w="270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autoSpaceDN w:val="0"/>
              <w:spacing w:line="240" w:lineRule="exact"/>
              <w:jc w:val="center"/>
              <w:textAlignment w:val="top"/>
              <w:rPr>
                <w:rFonts w:ascii="宋体" w:hAnsi="宋体"/>
                <w:szCs w:val="21"/>
              </w:rPr>
            </w:pPr>
          </w:p>
        </w:tc>
        <w:tc>
          <w:tcPr>
            <w:tcW w:w="126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autoSpaceDN w:val="0"/>
              <w:spacing w:line="240" w:lineRule="exact"/>
              <w:jc w:val="center"/>
              <w:textAlignment w:val="top"/>
              <w:rPr>
                <w:rFonts w:ascii="宋体" w:hAnsi="宋体"/>
                <w:szCs w:val="21"/>
              </w:rPr>
            </w:pPr>
          </w:p>
        </w:tc>
        <w:tc>
          <w:tcPr>
            <w:tcW w:w="4182"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autoSpaceDN w:val="0"/>
              <w:spacing w:line="240" w:lineRule="exact"/>
              <w:jc w:val="center"/>
              <w:textAlignment w:val="top"/>
              <w:rPr>
                <w:rFonts w:ascii="宋体" w:hAnsi="宋体"/>
                <w:szCs w:val="21"/>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850" w:hRule="exact"/>
        </w:trPr>
        <w:tc>
          <w:tcPr>
            <w:tcW w:w="1358"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autoSpaceDN w:val="0"/>
              <w:snapToGrid w:val="0"/>
              <w:spacing w:before="156" w:line="240" w:lineRule="exact"/>
              <w:jc w:val="center"/>
              <w:rPr>
                <w:rFonts w:ascii="宋体" w:hAnsi="宋体"/>
                <w:szCs w:val="21"/>
              </w:rPr>
            </w:pPr>
            <w:r>
              <w:rPr>
                <w:rFonts w:hint="eastAsia" w:ascii="宋体" w:hAnsi="宋体"/>
                <w:szCs w:val="21"/>
              </w:rPr>
              <w:t>…</w:t>
            </w:r>
          </w:p>
        </w:tc>
        <w:tc>
          <w:tcPr>
            <w:tcW w:w="270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autoSpaceDN w:val="0"/>
              <w:spacing w:line="240" w:lineRule="exact"/>
              <w:jc w:val="center"/>
              <w:textAlignment w:val="top"/>
              <w:rPr>
                <w:rFonts w:ascii="宋体" w:hAnsi="宋体"/>
                <w:szCs w:val="21"/>
              </w:rPr>
            </w:pPr>
          </w:p>
        </w:tc>
        <w:tc>
          <w:tcPr>
            <w:tcW w:w="126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autoSpaceDN w:val="0"/>
              <w:spacing w:line="240" w:lineRule="exact"/>
              <w:jc w:val="center"/>
              <w:textAlignment w:val="top"/>
              <w:rPr>
                <w:rFonts w:ascii="宋体" w:hAnsi="宋体"/>
                <w:szCs w:val="21"/>
              </w:rPr>
            </w:pPr>
          </w:p>
        </w:tc>
        <w:tc>
          <w:tcPr>
            <w:tcW w:w="4182"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autoSpaceDN w:val="0"/>
              <w:spacing w:line="240" w:lineRule="exact"/>
              <w:jc w:val="center"/>
              <w:textAlignment w:val="top"/>
              <w:rPr>
                <w:rFonts w:ascii="宋体" w:hAnsi="宋体"/>
                <w:szCs w:val="21"/>
              </w:rPr>
            </w:pPr>
          </w:p>
        </w:tc>
      </w:tr>
    </w:tbl>
    <w:p>
      <w:pPr>
        <w:rPr>
          <w:rFonts w:ascii="宋体" w:hAnsi="宋体"/>
          <w:color w:val="000000"/>
          <w:szCs w:val="21"/>
        </w:rPr>
      </w:pPr>
      <w:r>
        <w:rPr>
          <w:rFonts w:hint="eastAsia" w:ascii="宋体" w:hAnsi="宋体"/>
          <w:color w:val="000000"/>
          <w:szCs w:val="21"/>
        </w:rPr>
        <w:t>注：1、投标人必须完全响应招标文件商务要求，否则按无效标处理。</w:t>
      </w:r>
    </w:p>
    <w:p>
      <w:pPr>
        <w:ind w:firstLine="482" w:firstLineChars="200"/>
        <w:rPr>
          <w:rFonts w:ascii="宋体" w:hAnsi="宋体"/>
          <w:b/>
          <w:color w:val="000000"/>
          <w:szCs w:val="21"/>
        </w:rPr>
      </w:pPr>
      <w:r>
        <w:rPr>
          <w:rFonts w:hint="eastAsia" w:ascii="宋体" w:hAnsi="宋体"/>
          <w:b/>
          <w:color w:val="000000"/>
          <w:szCs w:val="21"/>
        </w:rPr>
        <w:t>2、</w:t>
      </w:r>
      <w:r>
        <w:rPr>
          <w:rFonts w:hint="eastAsia" w:ascii="宋体" w:hAnsi="宋体"/>
          <w:b/>
          <w:color w:val="FF0000"/>
          <w:szCs w:val="21"/>
        </w:rPr>
        <w:t>商务要求包括：招标文件第四章中的“商务要求”的内容</w:t>
      </w:r>
      <w:r>
        <w:rPr>
          <w:rFonts w:hint="eastAsia" w:ascii="宋体" w:hAnsi="宋体"/>
          <w:b/>
          <w:color w:val="000000"/>
          <w:szCs w:val="21"/>
        </w:rPr>
        <w:t>。</w:t>
      </w:r>
    </w:p>
    <w:p>
      <w:pPr>
        <w:rPr>
          <w:rFonts w:ascii="宋体" w:hAnsi="宋体"/>
          <w:color w:val="000000"/>
          <w:szCs w:val="21"/>
        </w:rPr>
      </w:pPr>
    </w:p>
    <w:p>
      <w:pPr>
        <w:pStyle w:val="2"/>
        <w:rPr>
          <w:rFonts w:ascii="宋体" w:hAnsi="宋体"/>
        </w:rPr>
      </w:pPr>
    </w:p>
    <w:p>
      <w:pPr>
        <w:spacing w:line="360" w:lineRule="auto"/>
        <w:rPr>
          <w:rFonts w:ascii="宋体" w:hAnsi="宋体"/>
          <w:color w:val="000000"/>
          <w:szCs w:val="21"/>
        </w:rPr>
      </w:pPr>
    </w:p>
    <w:p>
      <w:pPr>
        <w:spacing w:line="360" w:lineRule="auto"/>
        <w:ind w:firstLine="480" w:firstLineChars="200"/>
        <w:rPr>
          <w:rFonts w:ascii="宋体" w:hAnsi="宋体"/>
          <w:szCs w:val="21"/>
        </w:rPr>
      </w:pPr>
      <w:r>
        <w:rPr>
          <w:rFonts w:hint="eastAsia" w:ascii="宋体" w:hAnsi="宋体"/>
          <w:szCs w:val="21"/>
        </w:rPr>
        <w:t>投标人名称（全称并加盖公章）：</w:t>
      </w:r>
    </w:p>
    <w:p>
      <w:pPr>
        <w:spacing w:line="360" w:lineRule="auto"/>
        <w:ind w:firstLine="480" w:firstLineChars="200"/>
        <w:rPr>
          <w:rFonts w:ascii="宋体" w:hAnsi="宋体"/>
          <w:szCs w:val="21"/>
        </w:rPr>
      </w:pPr>
      <w:r>
        <w:rPr>
          <w:rFonts w:hint="eastAsia" w:ascii="宋体" w:hAnsi="宋体"/>
          <w:szCs w:val="21"/>
        </w:rPr>
        <w:t>法定代表人或其委托代理人（签字）：</w:t>
      </w:r>
    </w:p>
    <w:p>
      <w:pPr>
        <w:spacing w:line="360" w:lineRule="auto"/>
        <w:ind w:firstLine="480" w:firstLineChars="200"/>
        <w:rPr>
          <w:rFonts w:ascii="宋体" w:hAnsi="宋体"/>
          <w:szCs w:val="21"/>
        </w:rPr>
      </w:pPr>
    </w:p>
    <w:p>
      <w:pPr>
        <w:spacing w:line="360" w:lineRule="auto"/>
        <w:ind w:firstLine="480" w:firstLineChars="200"/>
        <w:rPr>
          <w:rFonts w:ascii="宋体" w:hAnsi="宋体"/>
          <w:szCs w:val="21"/>
        </w:rPr>
      </w:pPr>
    </w:p>
    <w:p>
      <w:pPr>
        <w:spacing w:line="360" w:lineRule="auto"/>
        <w:ind w:firstLine="480" w:firstLineChars="200"/>
        <w:jc w:val="right"/>
        <w:rPr>
          <w:rFonts w:ascii="宋体" w:hAnsi="宋体"/>
          <w:szCs w:val="21"/>
        </w:rPr>
      </w:pPr>
      <w:r>
        <w:rPr>
          <w:rFonts w:hint="eastAsia" w:ascii="宋体" w:hAnsi="宋体"/>
          <w:szCs w:val="21"/>
        </w:rPr>
        <w:t xml:space="preserve"> 年  月  日</w:t>
      </w:r>
    </w:p>
    <w:p>
      <w:pPr>
        <w:pStyle w:val="26"/>
        <w:ind w:firstLine="480"/>
        <w:rPr>
          <w:rFonts w:cs="宋体"/>
        </w:rPr>
      </w:pPr>
    </w:p>
    <w:p>
      <w:pPr>
        <w:pStyle w:val="26"/>
        <w:ind w:firstLine="480"/>
        <w:rPr>
          <w:rFonts w:cs="宋体"/>
        </w:rPr>
      </w:pPr>
    </w:p>
    <w:p>
      <w:pPr>
        <w:numPr>
          <w:ilvl w:val="3"/>
          <w:numId w:val="48"/>
        </w:numPr>
        <w:spacing w:line="360" w:lineRule="auto"/>
        <w:jc w:val="center"/>
        <w:rPr>
          <w:rFonts w:ascii="宋体" w:hAnsi="宋体"/>
          <w:b/>
          <w:bCs/>
          <w:sz w:val="32"/>
          <w:szCs w:val="32"/>
        </w:rPr>
      </w:pPr>
      <w:r>
        <w:rPr>
          <w:rFonts w:hint="eastAsia" w:ascii="宋体" w:hAnsi="宋体"/>
          <w:b/>
          <w:bCs/>
          <w:sz w:val="32"/>
          <w:szCs w:val="32"/>
        </w:rPr>
        <w:t>法定代表人身份证明</w:t>
      </w:r>
    </w:p>
    <w:p>
      <w:pPr>
        <w:jc w:val="center"/>
        <w:rPr>
          <w:rFonts w:ascii="宋体" w:hAnsi="宋体"/>
          <w:b/>
        </w:rPr>
      </w:pPr>
    </w:p>
    <w:p>
      <w:pPr>
        <w:jc w:val="center"/>
        <w:rPr>
          <w:rFonts w:ascii="宋体" w:hAnsi="宋体"/>
          <w:b/>
        </w:rPr>
      </w:pPr>
    </w:p>
    <w:p>
      <w:pPr>
        <w:spacing w:line="360" w:lineRule="auto"/>
        <w:ind w:firstLine="480" w:firstLineChars="200"/>
        <w:rPr>
          <w:rFonts w:ascii="宋体" w:hAnsi="宋体"/>
          <w:szCs w:val="21"/>
        </w:rPr>
      </w:pPr>
      <w:r>
        <w:rPr>
          <w:rFonts w:hint="eastAsia" w:ascii="宋体" w:hAnsi="宋体"/>
          <w:szCs w:val="21"/>
        </w:rPr>
        <w:t>投标人名称：</w:t>
      </w:r>
    </w:p>
    <w:p>
      <w:pPr>
        <w:spacing w:line="360" w:lineRule="auto"/>
        <w:ind w:firstLine="480" w:firstLineChars="200"/>
        <w:rPr>
          <w:rFonts w:ascii="宋体" w:hAnsi="宋体"/>
          <w:szCs w:val="21"/>
        </w:rPr>
      </w:pPr>
      <w:r>
        <w:rPr>
          <w:rFonts w:hint="eastAsia" w:ascii="宋体" w:hAnsi="宋体"/>
          <w:szCs w:val="21"/>
        </w:rPr>
        <w:t>单位性质：</w:t>
      </w:r>
    </w:p>
    <w:p>
      <w:pPr>
        <w:spacing w:line="360" w:lineRule="auto"/>
        <w:ind w:firstLine="480" w:firstLineChars="200"/>
        <w:rPr>
          <w:rFonts w:ascii="宋体" w:hAnsi="宋体"/>
          <w:szCs w:val="21"/>
        </w:rPr>
      </w:pPr>
      <w:r>
        <w:rPr>
          <w:rFonts w:hint="eastAsia" w:ascii="宋体" w:hAnsi="宋体"/>
          <w:szCs w:val="21"/>
        </w:rPr>
        <w:t>地    址：</w:t>
      </w:r>
    </w:p>
    <w:p>
      <w:pPr>
        <w:spacing w:line="360" w:lineRule="auto"/>
        <w:ind w:firstLine="480" w:firstLineChars="200"/>
        <w:rPr>
          <w:rFonts w:ascii="宋体" w:hAnsi="宋体"/>
          <w:szCs w:val="21"/>
        </w:rPr>
      </w:pPr>
      <w:r>
        <w:rPr>
          <w:rFonts w:hint="eastAsia" w:ascii="宋体" w:hAnsi="宋体"/>
          <w:szCs w:val="21"/>
        </w:rPr>
        <w:t>成立时间：</w:t>
      </w:r>
      <w:r>
        <w:rPr>
          <w:rFonts w:hint="eastAsia" w:ascii="宋体" w:hAnsi="宋体"/>
          <w:szCs w:val="21"/>
          <w:u w:val="single"/>
          <w:lang w:val="en-US" w:eastAsia="zh-CN"/>
        </w:rPr>
        <w:t xml:space="preserve">    </w:t>
      </w:r>
      <w:r>
        <w:rPr>
          <w:rFonts w:hint="eastAsia" w:ascii="宋体" w:hAnsi="宋体"/>
          <w:szCs w:val="21"/>
        </w:rPr>
        <w:t>年</w:t>
      </w:r>
      <w:r>
        <w:rPr>
          <w:rFonts w:hint="eastAsia" w:ascii="宋体" w:hAnsi="宋体"/>
          <w:szCs w:val="21"/>
          <w:u w:val="single"/>
          <w:lang w:val="en-US" w:eastAsia="zh-CN"/>
        </w:rPr>
        <w:t xml:space="preserve">    </w:t>
      </w:r>
      <w:r>
        <w:rPr>
          <w:rFonts w:hint="eastAsia" w:ascii="宋体" w:hAnsi="宋体"/>
          <w:szCs w:val="21"/>
        </w:rPr>
        <w:t>月</w:t>
      </w:r>
      <w:r>
        <w:rPr>
          <w:rFonts w:hint="eastAsia" w:ascii="宋体" w:hAnsi="宋体"/>
          <w:szCs w:val="21"/>
          <w:u w:val="single"/>
          <w:lang w:val="en-US" w:eastAsia="zh-CN"/>
        </w:rPr>
        <w:t xml:space="preserve">    </w:t>
      </w:r>
      <w:r>
        <w:rPr>
          <w:rFonts w:hint="eastAsia" w:ascii="宋体" w:hAnsi="宋体"/>
          <w:szCs w:val="21"/>
        </w:rPr>
        <w:t>日</w:t>
      </w:r>
    </w:p>
    <w:p>
      <w:pPr>
        <w:spacing w:line="360" w:lineRule="auto"/>
        <w:ind w:firstLine="480" w:firstLineChars="200"/>
        <w:rPr>
          <w:rFonts w:ascii="宋体" w:hAnsi="宋体"/>
          <w:szCs w:val="21"/>
        </w:rPr>
      </w:pPr>
      <w:r>
        <w:rPr>
          <w:rFonts w:hint="eastAsia" w:ascii="宋体" w:hAnsi="宋体"/>
          <w:szCs w:val="21"/>
        </w:rPr>
        <w:t>经营期限：</w:t>
      </w:r>
    </w:p>
    <w:p>
      <w:pPr>
        <w:spacing w:line="360" w:lineRule="auto"/>
        <w:ind w:firstLine="480" w:firstLineChars="200"/>
        <w:rPr>
          <w:rFonts w:ascii="宋体" w:hAnsi="宋体"/>
          <w:szCs w:val="21"/>
        </w:rPr>
      </w:pPr>
      <w:r>
        <w:rPr>
          <w:rFonts w:hint="eastAsia" w:ascii="宋体" w:hAnsi="宋体"/>
          <w:szCs w:val="21"/>
        </w:rPr>
        <w:t>姓    名：</w:t>
      </w:r>
      <w:r>
        <w:rPr>
          <w:rFonts w:hint="eastAsia" w:ascii="宋体" w:hAnsi="宋体"/>
          <w:szCs w:val="21"/>
          <w:u w:val="single"/>
          <w:lang w:val="en-US" w:eastAsia="zh-CN"/>
        </w:rPr>
        <w:t xml:space="preserve">     </w:t>
      </w:r>
      <w:r>
        <w:rPr>
          <w:rFonts w:hint="eastAsia" w:ascii="宋体" w:hAnsi="宋体"/>
          <w:szCs w:val="21"/>
        </w:rPr>
        <w:t>性别：</w:t>
      </w:r>
      <w:r>
        <w:rPr>
          <w:rFonts w:hint="eastAsia" w:ascii="宋体" w:hAnsi="宋体"/>
          <w:szCs w:val="21"/>
          <w:u w:val="single"/>
          <w:lang w:val="en-US" w:eastAsia="zh-CN"/>
        </w:rPr>
        <w:t xml:space="preserve">    </w:t>
      </w:r>
      <w:r>
        <w:rPr>
          <w:rFonts w:hint="eastAsia" w:ascii="宋体" w:hAnsi="宋体"/>
          <w:szCs w:val="21"/>
        </w:rPr>
        <w:t>年龄：</w:t>
      </w:r>
      <w:r>
        <w:rPr>
          <w:rFonts w:hint="eastAsia" w:ascii="宋体" w:hAnsi="宋体"/>
          <w:szCs w:val="21"/>
          <w:u w:val="single"/>
          <w:lang w:val="en-US" w:eastAsia="zh-CN"/>
        </w:rPr>
        <w:t xml:space="preserve">    </w:t>
      </w:r>
      <w:r>
        <w:rPr>
          <w:rFonts w:hint="eastAsia" w:ascii="宋体" w:hAnsi="宋体"/>
          <w:szCs w:val="21"/>
        </w:rPr>
        <w:t>职务：</w:t>
      </w:r>
    </w:p>
    <w:p>
      <w:pPr>
        <w:spacing w:line="360" w:lineRule="auto"/>
        <w:ind w:firstLine="480" w:firstLineChars="200"/>
        <w:rPr>
          <w:rFonts w:ascii="宋体" w:hAnsi="宋体"/>
          <w:szCs w:val="21"/>
        </w:rPr>
      </w:pPr>
      <w:r>
        <w:rPr>
          <w:rFonts w:hint="eastAsia" w:ascii="宋体" w:hAnsi="宋体"/>
          <w:szCs w:val="21"/>
        </w:rPr>
        <w:t>系</w:t>
      </w:r>
      <w:r>
        <w:rPr>
          <w:rFonts w:hint="eastAsia" w:ascii="宋体" w:hAnsi="宋体"/>
          <w:szCs w:val="21"/>
          <w:lang w:val="en-US" w:eastAsia="zh-CN"/>
        </w:rPr>
        <w:t xml:space="preserve"> </w:t>
      </w:r>
      <w:r>
        <w:rPr>
          <w:rFonts w:hint="eastAsia" w:ascii="宋体" w:hAnsi="宋体"/>
          <w:szCs w:val="21"/>
          <w:u w:val="single"/>
          <w:lang w:val="en-US" w:eastAsia="zh-CN"/>
        </w:rPr>
        <w:t xml:space="preserve">                       </w:t>
      </w:r>
      <w:r>
        <w:rPr>
          <w:rFonts w:hint="eastAsia" w:ascii="宋体" w:hAnsi="宋体"/>
          <w:szCs w:val="21"/>
        </w:rPr>
        <w:t>（投标人名称）营业执照注册号：</w:t>
      </w:r>
      <w:r>
        <w:rPr>
          <w:rFonts w:hint="eastAsia" w:ascii="宋体" w:hAnsi="宋体"/>
          <w:szCs w:val="21"/>
          <w:u w:val="single"/>
          <w:lang w:val="en-US" w:eastAsia="zh-CN"/>
        </w:rPr>
        <w:t xml:space="preserve">           </w:t>
      </w:r>
      <w:r>
        <w:rPr>
          <w:rFonts w:hint="eastAsia" w:ascii="宋体" w:hAnsi="宋体"/>
          <w:szCs w:val="21"/>
        </w:rPr>
        <w:t>的法定代表人。</w:t>
      </w:r>
    </w:p>
    <w:p>
      <w:pPr>
        <w:spacing w:line="360" w:lineRule="auto"/>
        <w:ind w:firstLine="480" w:firstLineChars="200"/>
        <w:rPr>
          <w:rFonts w:ascii="宋体" w:hAnsi="宋体"/>
          <w:szCs w:val="21"/>
        </w:rPr>
      </w:pPr>
      <w:r>
        <w:rPr>
          <w:rFonts w:hint="eastAsia" w:ascii="宋体" w:hAnsi="宋体"/>
          <w:szCs w:val="21"/>
        </w:rPr>
        <w:t>特此证明。</w:t>
      </w:r>
    </w:p>
    <w:p>
      <w:pPr>
        <w:spacing w:line="360" w:lineRule="auto"/>
        <w:ind w:firstLine="480" w:firstLineChars="200"/>
        <w:rPr>
          <w:rFonts w:ascii="宋体" w:hAnsi="宋体"/>
          <w:szCs w:val="21"/>
        </w:rPr>
      </w:pPr>
      <w:r>
        <w:rPr>
          <w:rFonts w:hint="eastAsia" w:ascii="宋体" w:hAnsi="宋体"/>
          <w:szCs w:val="21"/>
        </w:rPr>
        <w:t xml:space="preserve">附：联系地址：               </w:t>
      </w:r>
    </w:p>
    <w:p>
      <w:pPr>
        <w:spacing w:line="360" w:lineRule="auto"/>
        <w:ind w:firstLine="480" w:firstLineChars="200"/>
        <w:rPr>
          <w:rFonts w:ascii="宋体" w:hAnsi="宋体"/>
          <w:szCs w:val="21"/>
        </w:rPr>
      </w:pPr>
      <w:r>
        <w:rPr>
          <w:rFonts w:hint="eastAsia" w:ascii="宋体" w:hAnsi="宋体"/>
          <w:szCs w:val="21"/>
        </w:rPr>
        <w:t xml:space="preserve">    联系电话：</w:t>
      </w:r>
    </w:p>
    <w:p>
      <w:pPr>
        <w:spacing w:line="360" w:lineRule="auto"/>
        <w:rPr>
          <w:rFonts w:ascii="宋体" w:hAnsi="宋体"/>
          <w:szCs w:val="21"/>
        </w:rPr>
      </w:pPr>
    </w:p>
    <w:p>
      <w:pPr>
        <w:spacing w:line="360" w:lineRule="auto"/>
        <w:ind w:firstLine="3840" w:firstLineChars="1600"/>
        <w:rPr>
          <w:rFonts w:ascii="宋体" w:hAnsi="宋体"/>
          <w:szCs w:val="21"/>
        </w:rPr>
      </w:pPr>
      <w:r>
        <w:rPr>
          <w:rFonts w:hint="eastAsia" w:ascii="宋体" w:hAnsi="宋体"/>
          <w:szCs w:val="21"/>
        </w:rPr>
        <w:t xml:space="preserve">                   投标人名称（全称并加盖公章）：</w:t>
      </w:r>
    </w:p>
    <w:p>
      <w:pPr>
        <w:spacing w:line="360" w:lineRule="auto"/>
        <w:ind w:firstLine="3840" w:firstLineChars="1600"/>
        <w:rPr>
          <w:rFonts w:ascii="宋体" w:hAnsi="宋体"/>
          <w:szCs w:val="21"/>
        </w:rPr>
      </w:pPr>
    </w:p>
    <w:p>
      <w:pPr>
        <w:spacing w:line="360" w:lineRule="auto"/>
        <w:ind w:firstLine="5160" w:firstLineChars="2150"/>
        <w:rPr>
          <w:rFonts w:ascii="宋体" w:hAnsi="宋体"/>
          <w:szCs w:val="21"/>
        </w:rPr>
      </w:pPr>
      <w:r>
        <w:rPr>
          <w:rFonts w:hint="eastAsia" w:ascii="宋体" w:hAnsi="宋体"/>
          <w:szCs w:val="21"/>
        </w:rPr>
        <w:t xml:space="preserve">            年   月   日</w:t>
      </w:r>
    </w:p>
    <w:p>
      <w:pPr>
        <w:spacing w:line="360" w:lineRule="auto"/>
        <w:ind w:firstLine="5160" w:firstLineChars="2150"/>
        <w:rPr>
          <w:rFonts w:ascii="宋体" w:hAnsi="宋体"/>
          <w:szCs w:val="21"/>
        </w:rPr>
      </w:pPr>
    </w:p>
    <w:p>
      <w:pPr>
        <w:spacing w:line="360" w:lineRule="auto"/>
        <w:rPr>
          <w:rFonts w:ascii="宋体" w:hAnsi="宋体"/>
          <w:b/>
          <w:bCs/>
          <w:color w:val="0000FF"/>
          <w:sz w:val="32"/>
          <w:szCs w:val="32"/>
        </w:rPr>
      </w:pPr>
      <w:r>
        <w:rPr>
          <w:rFonts w:hint="eastAsia" w:ascii="宋体" w:hAnsi="宋体"/>
          <w:b/>
          <w:bCs/>
          <w:color w:val="0000FF"/>
          <w:sz w:val="32"/>
          <w:szCs w:val="32"/>
        </w:rPr>
        <w:t>注：附法定代表人身份证（正反两面）复印件。</w:t>
      </w:r>
    </w:p>
    <w:p>
      <w:pPr>
        <w:spacing w:line="360" w:lineRule="auto"/>
        <w:ind w:firstLine="6020" w:firstLineChars="2150"/>
        <w:rPr>
          <w:rFonts w:ascii="宋体" w:hAnsi="宋体"/>
          <w:sz w:val="28"/>
          <w:szCs w:val="28"/>
        </w:rPr>
      </w:pPr>
    </w:p>
    <w:p>
      <w:pPr>
        <w:spacing w:line="360" w:lineRule="auto"/>
        <w:ind w:firstLine="6020" w:firstLineChars="2150"/>
        <w:rPr>
          <w:rFonts w:ascii="宋体" w:hAnsi="宋体"/>
          <w:sz w:val="28"/>
          <w:szCs w:val="28"/>
        </w:rPr>
      </w:pPr>
    </w:p>
    <w:p>
      <w:pPr>
        <w:pStyle w:val="26"/>
        <w:ind w:firstLine="480"/>
      </w:pPr>
    </w:p>
    <w:p>
      <w:pPr>
        <w:pStyle w:val="26"/>
        <w:ind w:firstLine="480"/>
      </w:pPr>
    </w:p>
    <w:p>
      <w:pPr>
        <w:pStyle w:val="26"/>
        <w:ind w:firstLine="480"/>
      </w:pPr>
    </w:p>
    <w:p>
      <w:pPr>
        <w:numPr>
          <w:ilvl w:val="3"/>
          <w:numId w:val="48"/>
        </w:numPr>
        <w:spacing w:line="360" w:lineRule="auto"/>
        <w:jc w:val="center"/>
        <w:rPr>
          <w:rFonts w:ascii="宋体" w:hAnsi="宋体"/>
          <w:b/>
          <w:bCs/>
          <w:sz w:val="32"/>
          <w:szCs w:val="32"/>
        </w:rPr>
      </w:pPr>
      <w:r>
        <w:rPr>
          <w:rFonts w:hint="eastAsia" w:ascii="宋体" w:hAnsi="宋体"/>
          <w:b/>
          <w:bCs/>
          <w:sz w:val="32"/>
          <w:szCs w:val="32"/>
        </w:rPr>
        <w:t>授权委托书</w:t>
      </w:r>
    </w:p>
    <w:p>
      <w:pPr>
        <w:spacing w:line="360" w:lineRule="auto"/>
        <w:jc w:val="center"/>
        <w:rPr>
          <w:rFonts w:ascii="宋体" w:hAnsi="宋体"/>
          <w:b/>
          <w:bCs/>
          <w:sz w:val="32"/>
          <w:szCs w:val="32"/>
        </w:rPr>
      </w:pPr>
    </w:p>
    <w:p>
      <w:pPr>
        <w:spacing w:line="500" w:lineRule="exact"/>
        <w:ind w:firstLine="420"/>
        <w:rPr>
          <w:rFonts w:ascii="宋体" w:hAnsi="宋体"/>
          <w:szCs w:val="21"/>
        </w:rPr>
      </w:pPr>
      <w:r>
        <w:rPr>
          <w:rFonts w:hint="eastAsia" w:ascii="宋体" w:hAnsi="宋体"/>
          <w:szCs w:val="21"/>
        </w:rPr>
        <w:t>本人</w:t>
      </w:r>
      <w:r>
        <w:rPr>
          <w:rFonts w:hint="eastAsia" w:ascii="宋体" w:hAnsi="宋体"/>
          <w:szCs w:val="21"/>
          <w:lang w:val="en-US" w:eastAsia="zh-CN"/>
        </w:rPr>
        <w:t xml:space="preserve"> </w:t>
      </w:r>
      <w:r>
        <w:rPr>
          <w:rFonts w:hint="eastAsia" w:ascii="宋体" w:hAnsi="宋体"/>
          <w:szCs w:val="21"/>
          <w:u w:val="single"/>
          <w:lang w:val="en-US" w:eastAsia="zh-CN"/>
        </w:rPr>
        <w:t xml:space="preserve">         </w:t>
      </w:r>
      <w:r>
        <w:rPr>
          <w:rFonts w:hint="eastAsia" w:ascii="宋体" w:hAnsi="宋体"/>
          <w:szCs w:val="21"/>
        </w:rPr>
        <w:t>（姓名）系</w:t>
      </w:r>
      <w:r>
        <w:rPr>
          <w:rFonts w:hint="eastAsia" w:ascii="宋体" w:hAnsi="宋体"/>
          <w:szCs w:val="21"/>
          <w:u w:val="single"/>
          <w:lang w:val="en-US" w:eastAsia="zh-CN"/>
        </w:rPr>
        <w:t xml:space="preserve">                      </w:t>
      </w:r>
      <w:r>
        <w:rPr>
          <w:rFonts w:hint="eastAsia" w:ascii="宋体" w:hAnsi="宋体"/>
          <w:szCs w:val="21"/>
        </w:rPr>
        <w:t>（投标人名称）的法定代表人，现委托</w:t>
      </w:r>
      <w:r>
        <w:rPr>
          <w:rFonts w:hint="eastAsia" w:ascii="宋体" w:hAnsi="宋体"/>
          <w:szCs w:val="21"/>
          <w:lang w:val="en-US" w:eastAsia="zh-CN"/>
        </w:rPr>
        <w:t xml:space="preserve">  </w:t>
      </w:r>
      <w:r>
        <w:rPr>
          <w:rFonts w:hint="eastAsia" w:ascii="宋体" w:hAnsi="宋体"/>
          <w:szCs w:val="21"/>
          <w:u w:val="single"/>
          <w:lang w:val="en-US" w:eastAsia="zh-CN"/>
        </w:rPr>
        <w:t xml:space="preserve">            </w:t>
      </w:r>
      <w:r>
        <w:rPr>
          <w:rFonts w:hint="eastAsia" w:ascii="宋体" w:hAnsi="宋体"/>
          <w:szCs w:val="21"/>
        </w:rPr>
        <w:t>（姓名）为我方代理人。代理人根据授权，以我方名义签署、澄清、说明、补正、递交、撤回、修改</w:t>
      </w:r>
      <w:r>
        <w:rPr>
          <w:rFonts w:hint="eastAsia" w:ascii="宋体" w:hAnsi="宋体"/>
          <w:szCs w:val="21"/>
          <w:u w:val="single"/>
          <w:lang w:val="en-US" w:eastAsia="zh-CN"/>
        </w:rPr>
        <w:t xml:space="preserve">                        </w:t>
      </w:r>
      <w:r>
        <w:rPr>
          <w:rFonts w:hint="eastAsia" w:ascii="宋体" w:hAnsi="宋体"/>
          <w:szCs w:val="21"/>
        </w:rPr>
        <w:t>（项目名称）投标文件、签订合同和处理有关事宜，其法律后果由我方承担。</w:t>
      </w:r>
    </w:p>
    <w:p>
      <w:pPr>
        <w:spacing w:line="500" w:lineRule="exact"/>
        <w:ind w:firstLine="420"/>
        <w:rPr>
          <w:rFonts w:ascii="宋体" w:hAnsi="宋体"/>
          <w:szCs w:val="21"/>
        </w:rPr>
      </w:pPr>
      <w:r>
        <w:rPr>
          <w:rFonts w:hint="eastAsia" w:ascii="宋体" w:hAnsi="宋体"/>
          <w:szCs w:val="21"/>
        </w:rPr>
        <w:t>委托期限：   年   月   日至   年   月   日</w:t>
      </w:r>
    </w:p>
    <w:p>
      <w:pPr>
        <w:spacing w:line="500" w:lineRule="exact"/>
        <w:ind w:firstLine="420"/>
        <w:rPr>
          <w:rFonts w:ascii="宋体" w:hAnsi="宋体"/>
          <w:szCs w:val="21"/>
        </w:rPr>
      </w:pPr>
      <w:r>
        <w:rPr>
          <w:rFonts w:hint="eastAsia" w:ascii="宋体" w:hAnsi="宋体"/>
          <w:szCs w:val="21"/>
        </w:rPr>
        <w:t>代理人无转委托权。</w:t>
      </w:r>
    </w:p>
    <w:p>
      <w:pPr>
        <w:spacing w:line="600" w:lineRule="exact"/>
        <w:ind w:right="525" w:firstLine="640"/>
        <w:jc w:val="center"/>
        <w:rPr>
          <w:rFonts w:ascii="宋体" w:hAnsi="宋体"/>
          <w:szCs w:val="21"/>
        </w:rPr>
      </w:pPr>
      <w:r>
        <w:rPr>
          <w:rFonts w:hint="eastAsia" w:ascii="宋体" w:hAnsi="宋体"/>
          <w:szCs w:val="21"/>
        </w:rPr>
        <w:t>投标人名称（全称并加盖公章）：</w:t>
      </w:r>
    </w:p>
    <w:p>
      <w:pPr>
        <w:spacing w:line="600" w:lineRule="exact"/>
        <w:ind w:firstLine="640"/>
        <w:rPr>
          <w:rFonts w:ascii="宋体" w:hAnsi="宋体"/>
          <w:szCs w:val="21"/>
        </w:rPr>
      </w:pPr>
      <w:r>
        <w:rPr>
          <w:rFonts w:hint="eastAsia" w:ascii="宋体" w:hAnsi="宋体"/>
          <w:szCs w:val="21"/>
        </w:rPr>
        <w:t xml:space="preserve">                     法定代表人（签字）：</w:t>
      </w:r>
    </w:p>
    <w:p>
      <w:pPr>
        <w:spacing w:line="600" w:lineRule="exact"/>
        <w:ind w:firstLine="640"/>
        <w:rPr>
          <w:rFonts w:ascii="宋体" w:hAnsi="宋体"/>
          <w:szCs w:val="21"/>
        </w:rPr>
      </w:pPr>
      <w:r>
        <w:rPr>
          <w:rFonts w:hint="eastAsia" w:ascii="宋体" w:hAnsi="宋体"/>
          <w:szCs w:val="21"/>
        </w:rPr>
        <w:t xml:space="preserve">                     法定代表人委托代理人（签字）：</w:t>
      </w:r>
    </w:p>
    <w:p>
      <w:pPr>
        <w:spacing w:line="360" w:lineRule="auto"/>
        <w:ind w:firstLine="5520" w:firstLineChars="2300"/>
        <w:rPr>
          <w:rFonts w:ascii="宋体" w:hAnsi="宋体"/>
          <w:szCs w:val="21"/>
        </w:rPr>
      </w:pPr>
      <w:r>
        <w:rPr>
          <w:rFonts w:hint="eastAsia" w:ascii="宋体" w:hAnsi="宋体"/>
          <w:szCs w:val="21"/>
        </w:rPr>
        <w:t>日      期：</w:t>
      </w:r>
      <w:r>
        <w:rPr>
          <w:rFonts w:hint="eastAsia" w:ascii="宋体" w:hAnsi="宋体"/>
          <w:szCs w:val="21"/>
          <w:u w:val="single"/>
        </w:rPr>
        <w:t>　　</w:t>
      </w:r>
      <w:r>
        <w:rPr>
          <w:rFonts w:hint="eastAsia" w:ascii="宋体" w:hAnsi="宋体"/>
          <w:szCs w:val="21"/>
        </w:rPr>
        <w:t>年</w:t>
      </w:r>
      <w:r>
        <w:rPr>
          <w:rFonts w:hint="eastAsia" w:ascii="宋体" w:hAnsi="宋体"/>
          <w:szCs w:val="21"/>
          <w:u w:val="single"/>
        </w:rPr>
        <w:t>　　</w:t>
      </w:r>
      <w:r>
        <w:rPr>
          <w:rFonts w:hint="eastAsia" w:ascii="宋体" w:hAnsi="宋体"/>
          <w:szCs w:val="21"/>
        </w:rPr>
        <w:t>月</w:t>
      </w:r>
      <w:r>
        <w:rPr>
          <w:rFonts w:hint="eastAsia" w:ascii="宋体" w:hAnsi="宋体"/>
          <w:szCs w:val="21"/>
          <w:u w:val="single"/>
        </w:rPr>
        <w:t>　　</w:t>
      </w:r>
      <w:r>
        <w:rPr>
          <w:rFonts w:hint="eastAsia" w:ascii="宋体" w:hAnsi="宋体"/>
          <w:szCs w:val="21"/>
        </w:rPr>
        <w:t>日</w:t>
      </w:r>
    </w:p>
    <w:p>
      <w:pPr>
        <w:spacing w:line="360" w:lineRule="auto"/>
        <w:ind w:firstLine="480" w:firstLineChars="200"/>
        <w:jc w:val="center"/>
        <w:rPr>
          <w:rFonts w:ascii="宋体" w:hAnsi="宋体"/>
          <w:szCs w:val="21"/>
        </w:rPr>
      </w:pPr>
    </w:p>
    <w:p>
      <w:pPr>
        <w:spacing w:line="360" w:lineRule="auto"/>
        <w:ind w:firstLine="480" w:firstLineChars="200"/>
        <w:jc w:val="center"/>
        <w:rPr>
          <w:rFonts w:ascii="宋体" w:hAnsi="宋体"/>
          <w:szCs w:val="21"/>
        </w:rPr>
      </w:pPr>
    </w:p>
    <w:p>
      <w:pPr>
        <w:spacing w:line="360" w:lineRule="auto"/>
        <w:rPr>
          <w:rFonts w:ascii="宋体" w:hAnsi="宋体"/>
          <w:b/>
          <w:bCs/>
          <w:color w:val="0000FF"/>
          <w:sz w:val="32"/>
          <w:szCs w:val="32"/>
        </w:rPr>
      </w:pPr>
      <w:r>
        <w:rPr>
          <w:rFonts w:hint="eastAsia" w:ascii="宋体" w:hAnsi="宋体"/>
          <w:b/>
          <w:bCs/>
          <w:color w:val="0000FF"/>
          <w:sz w:val="32"/>
          <w:szCs w:val="32"/>
        </w:rPr>
        <w:t>注：附委托代理人身份证（正反两面）复印件，法定代表人参与投标的可不提供授权委托书。</w:t>
      </w:r>
    </w:p>
    <w:p>
      <w:pPr>
        <w:spacing w:line="360" w:lineRule="auto"/>
        <w:rPr>
          <w:rFonts w:ascii="宋体" w:hAnsi="宋体"/>
          <w:b/>
          <w:bCs/>
          <w:color w:val="0000FF"/>
          <w:sz w:val="32"/>
          <w:szCs w:val="32"/>
        </w:rPr>
      </w:pPr>
    </w:p>
    <w:p>
      <w:pPr>
        <w:pStyle w:val="31"/>
        <w:ind w:right="560"/>
        <w:jc w:val="right"/>
        <w:rPr>
          <w:b/>
          <w:bCs/>
          <w:sz w:val="28"/>
        </w:rPr>
      </w:pPr>
    </w:p>
    <w:p>
      <w:pPr>
        <w:adjustRightInd w:val="0"/>
        <w:spacing w:line="400" w:lineRule="exact"/>
        <w:ind w:firstLine="2040" w:firstLineChars="850"/>
        <w:jc w:val="left"/>
        <w:textAlignment w:val="baseline"/>
        <w:rPr>
          <w:rFonts w:ascii="宋体" w:hAnsi="宋体"/>
        </w:rPr>
      </w:pPr>
    </w:p>
    <w:p>
      <w:pPr>
        <w:adjustRightInd w:val="0"/>
        <w:spacing w:line="400" w:lineRule="exact"/>
        <w:ind w:firstLine="2040" w:firstLineChars="850"/>
        <w:jc w:val="left"/>
        <w:textAlignment w:val="baseline"/>
        <w:rPr>
          <w:rFonts w:ascii="宋体" w:hAnsi="宋体"/>
        </w:rPr>
      </w:pPr>
    </w:p>
    <w:p>
      <w:pPr>
        <w:adjustRightInd w:val="0"/>
        <w:spacing w:line="400" w:lineRule="exact"/>
        <w:ind w:firstLine="2040" w:firstLineChars="850"/>
        <w:jc w:val="left"/>
        <w:textAlignment w:val="baseline"/>
        <w:rPr>
          <w:rFonts w:ascii="宋体" w:hAnsi="宋体"/>
        </w:rPr>
      </w:pPr>
    </w:p>
    <w:p>
      <w:pPr>
        <w:adjustRightInd w:val="0"/>
        <w:spacing w:line="400" w:lineRule="exact"/>
        <w:ind w:firstLine="2040" w:firstLineChars="850"/>
        <w:jc w:val="left"/>
        <w:textAlignment w:val="baseline"/>
        <w:rPr>
          <w:rFonts w:ascii="宋体" w:hAnsi="宋体"/>
        </w:rPr>
      </w:pPr>
    </w:p>
    <w:p>
      <w:pPr>
        <w:pStyle w:val="26"/>
        <w:ind w:firstLine="480"/>
      </w:pPr>
    </w:p>
    <w:p>
      <w:pPr>
        <w:pStyle w:val="26"/>
        <w:ind w:firstLine="480"/>
      </w:pPr>
    </w:p>
    <w:p>
      <w:pPr>
        <w:pStyle w:val="26"/>
        <w:ind w:firstLine="480"/>
      </w:pPr>
    </w:p>
    <w:p>
      <w:pPr>
        <w:numPr>
          <w:ilvl w:val="3"/>
          <w:numId w:val="48"/>
        </w:numPr>
        <w:spacing w:line="360" w:lineRule="auto"/>
        <w:jc w:val="center"/>
        <w:rPr>
          <w:rFonts w:ascii="宋体" w:hAnsi="宋体"/>
          <w:b/>
          <w:bCs/>
          <w:sz w:val="32"/>
          <w:szCs w:val="32"/>
        </w:rPr>
      </w:pPr>
      <w:r>
        <w:rPr>
          <w:rFonts w:hint="eastAsia" w:ascii="宋体" w:hAnsi="宋体"/>
          <w:b/>
          <w:bCs/>
          <w:sz w:val="32"/>
          <w:szCs w:val="32"/>
        </w:rPr>
        <w:t>技术响应表</w:t>
      </w:r>
    </w:p>
    <w:p>
      <w:pPr>
        <w:spacing w:line="360" w:lineRule="auto"/>
        <w:rPr>
          <w:rFonts w:ascii="宋体" w:hAnsi="宋体"/>
          <w:szCs w:val="21"/>
        </w:rPr>
      </w:pPr>
    </w:p>
    <w:p>
      <w:pPr>
        <w:spacing w:line="360" w:lineRule="auto"/>
        <w:rPr>
          <w:rFonts w:ascii="宋体" w:hAnsi="宋体"/>
          <w:szCs w:val="21"/>
        </w:rPr>
      </w:pPr>
      <w:r>
        <w:rPr>
          <w:rFonts w:hint="eastAsia" w:ascii="宋体" w:hAnsi="宋体"/>
          <w:szCs w:val="21"/>
        </w:rPr>
        <w:t>项目名称：                                             交易编号：</w:t>
      </w:r>
    </w:p>
    <w:tbl>
      <w:tblPr>
        <w:tblStyle w:val="3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9"/>
        <w:gridCol w:w="1081"/>
        <w:gridCol w:w="825"/>
        <w:gridCol w:w="2445"/>
        <w:gridCol w:w="2415"/>
        <w:gridCol w:w="21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exact"/>
        </w:trPr>
        <w:tc>
          <w:tcPr>
            <w:tcW w:w="739" w:type="dxa"/>
            <w:vAlign w:val="center"/>
          </w:tcPr>
          <w:p>
            <w:pPr>
              <w:spacing w:line="240" w:lineRule="atLeast"/>
              <w:jc w:val="center"/>
              <w:rPr>
                <w:rFonts w:ascii="宋体" w:hAnsi="宋体"/>
                <w:szCs w:val="21"/>
              </w:rPr>
            </w:pPr>
            <w:r>
              <w:rPr>
                <w:rFonts w:hint="eastAsia" w:ascii="宋体" w:hAnsi="宋体"/>
                <w:szCs w:val="21"/>
              </w:rPr>
              <w:t>序号</w:t>
            </w:r>
          </w:p>
        </w:tc>
        <w:tc>
          <w:tcPr>
            <w:tcW w:w="1081" w:type="dxa"/>
            <w:vAlign w:val="center"/>
          </w:tcPr>
          <w:p>
            <w:pPr>
              <w:spacing w:line="240" w:lineRule="atLeast"/>
              <w:jc w:val="center"/>
              <w:rPr>
                <w:rFonts w:ascii="宋体" w:hAnsi="宋体"/>
                <w:szCs w:val="21"/>
              </w:rPr>
            </w:pPr>
            <w:r>
              <w:rPr>
                <w:rFonts w:hint="eastAsia" w:ascii="宋体" w:hAnsi="宋体"/>
                <w:szCs w:val="21"/>
              </w:rPr>
              <w:t>货物名称</w:t>
            </w:r>
          </w:p>
        </w:tc>
        <w:tc>
          <w:tcPr>
            <w:tcW w:w="825" w:type="dxa"/>
            <w:vAlign w:val="center"/>
          </w:tcPr>
          <w:p>
            <w:pPr>
              <w:spacing w:line="240" w:lineRule="atLeast"/>
              <w:jc w:val="center"/>
              <w:rPr>
                <w:rFonts w:ascii="宋体" w:hAnsi="宋体"/>
                <w:szCs w:val="21"/>
              </w:rPr>
            </w:pPr>
            <w:r>
              <w:rPr>
                <w:rFonts w:hint="eastAsia" w:ascii="宋体" w:hAnsi="宋体"/>
                <w:szCs w:val="21"/>
              </w:rPr>
              <w:t>数量</w:t>
            </w:r>
          </w:p>
        </w:tc>
        <w:tc>
          <w:tcPr>
            <w:tcW w:w="2445" w:type="dxa"/>
            <w:vAlign w:val="center"/>
          </w:tcPr>
          <w:p>
            <w:pPr>
              <w:spacing w:line="240" w:lineRule="atLeast"/>
              <w:jc w:val="center"/>
              <w:rPr>
                <w:rFonts w:ascii="宋体" w:hAnsi="宋体"/>
                <w:szCs w:val="21"/>
              </w:rPr>
            </w:pPr>
            <w:r>
              <w:rPr>
                <w:rFonts w:hint="eastAsia" w:ascii="宋体" w:hAnsi="宋体"/>
                <w:szCs w:val="21"/>
              </w:rPr>
              <w:t>招标文件技术规格要求</w:t>
            </w:r>
          </w:p>
        </w:tc>
        <w:tc>
          <w:tcPr>
            <w:tcW w:w="2415" w:type="dxa"/>
            <w:vAlign w:val="center"/>
          </w:tcPr>
          <w:p>
            <w:pPr>
              <w:spacing w:line="240" w:lineRule="atLeast"/>
              <w:jc w:val="center"/>
              <w:rPr>
                <w:rFonts w:ascii="宋体" w:hAnsi="宋体"/>
                <w:szCs w:val="21"/>
              </w:rPr>
            </w:pPr>
            <w:r>
              <w:rPr>
                <w:rFonts w:hint="eastAsia" w:ascii="宋体" w:hAnsi="宋体"/>
                <w:szCs w:val="21"/>
              </w:rPr>
              <w:t>投标货物实际技术规格</w:t>
            </w:r>
          </w:p>
        </w:tc>
        <w:tc>
          <w:tcPr>
            <w:tcW w:w="2101" w:type="dxa"/>
            <w:vAlign w:val="center"/>
          </w:tcPr>
          <w:p>
            <w:pPr>
              <w:spacing w:line="240" w:lineRule="atLeast"/>
              <w:jc w:val="center"/>
              <w:rPr>
                <w:rFonts w:ascii="宋体" w:hAnsi="宋体"/>
                <w:szCs w:val="21"/>
              </w:rPr>
            </w:pPr>
            <w:r>
              <w:rPr>
                <w:rFonts w:hint="eastAsia" w:ascii="宋体" w:hAnsi="宋体"/>
                <w:szCs w:val="21"/>
              </w:rPr>
              <w:t xml:space="preserve"> 响应/</w:t>
            </w:r>
          </w:p>
          <w:p>
            <w:pPr>
              <w:spacing w:line="240" w:lineRule="atLeast"/>
              <w:jc w:val="center"/>
              <w:rPr>
                <w:rFonts w:ascii="宋体" w:hAnsi="宋体"/>
                <w:szCs w:val="21"/>
              </w:rPr>
            </w:pPr>
            <w:r>
              <w:rPr>
                <w:rFonts w:hint="eastAsia" w:ascii="宋体" w:hAnsi="宋体"/>
                <w:szCs w:val="21"/>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exact"/>
        </w:trPr>
        <w:tc>
          <w:tcPr>
            <w:tcW w:w="739" w:type="dxa"/>
            <w:vAlign w:val="center"/>
          </w:tcPr>
          <w:p>
            <w:pPr>
              <w:spacing w:line="360" w:lineRule="auto"/>
              <w:jc w:val="center"/>
              <w:rPr>
                <w:rFonts w:ascii="宋体" w:hAnsi="宋体"/>
                <w:szCs w:val="21"/>
              </w:rPr>
            </w:pPr>
          </w:p>
        </w:tc>
        <w:tc>
          <w:tcPr>
            <w:tcW w:w="1081" w:type="dxa"/>
            <w:vAlign w:val="center"/>
          </w:tcPr>
          <w:p>
            <w:pPr>
              <w:spacing w:line="360" w:lineRule="auto"/>
              <w:jc w:val="center"/>
              <w:rPr>
                <w:rFonts w:ascii="宋体" w:hAnsi="宋体"/>
                <w:szCs w:val="21"/>
              </w:rPr>
            </w:pPr>
          </w:p>
        </w:tc>
        <w:tc>
          <w:tcPr>
            <w:tcW w:w="825" w:type="dxa"/>
            <w:vAlign w:val="center"/>
          </w:tcPr>
          <w:p>
            <w:pPr>
              <w:spacing w:line="360" w:lineRule="auto"/>
              <w:jc w:val="center"/>
              <w:rPr>
                <w:rFonts w:ascii="宋体" w:hAnsi="宋体"/>
                <w:szCs w:val="21"/>
              </w:rPr>
            </w:pPr>
          </w:p>
        </w:tc>
        <w:tc>
          <w:tcPr>
            <w:tcW w:w="2445" w:type="dxa"/>
            <w:vAlign w:val="center"/>
          </w:tcPr>
          <w:p>
            <w:pPr>
              <w:spacing w:line="360" w:lineRule="auto"/>
              <w:jc w:val="center"/>
              <w:rPr>
                <w:rFonts w:ascii="宋体" w:hAnsi="宋体"/>
                <w:szCs w:val="21"/>
              </w:rPr>
            </w:pPr>
          </w:p>
        </w:tc>
        <w:tc>
          <w:tcPr>
            <w:tcW w:w="2415" w:type="dxa"/>
          </w:tcPr>
          <w:p>
            <w:pPr>
              <w:spacing w:line="360" w:lineRule="auto"/>
              <w:jc w:val="center"/>
              <w:rPr>
                <w:rFonts w:ascii="宋体" w:hAnsi="宋体"/>
                <w:szCs w:val="21"/>
              </w:rPr>
            </w:pPr>
          </w:p>
        </w:tc>
        <w:tc>
          <w:tcPr>
            <w:tcW w:w="2101" w:type="dxa"/>
          </w:tcPr>
          <w:p>
            <w:pPr>
              <w:spacing w:line="360"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exact"/>
        </w:trPr>
        <w:tc>
          <w:tcPr>
            <w:tcW w:w="739" w:type="dxa"/>
            <w:vAlign w:val="center"/>
          </w:tcPr>
          <w:p>
            <w:pPr>
              <w:spacing w:line="360" w:lineRule="auto"/>
              <w:jc w:val="center"/>
              <w:rPr>
                <w:rFonts w:ascii="宋体" w:hAnsi="宋体"/>
                <w:szCs w:val="21"/>
              </w:rPr>
            </w:pPr>
          </w:p>
        </w:tc>
        <w:tc>
          <w:tcPr>
            <w:tcW w:w="1081" w:type="dxa"/>
            <w:vAlign w:val="center"/>
          </w:tcPr>
          <w:p>
            <w:pPr>
              <w:spacing w:line="360" w:lineRule="auto"/>
              <w:jc w:val="center"/>
              <w:rPr>
                <w:rFonts w:ascii="宋体" w:hAnsi="宋体"/>
                <w:szCs w:val="21"/>
              </w:rPr>
            </w:pPr>
          </w:p>
        </w:tc>
        <w:tc>
          <w:tcPr>
            <w:tcW w:w="825" w:type="dxa"/>
            <w:vAlign w:val="center"/>
          </w:tcPr>
          <w:p>
            <w:pPr>
              <w:spacing w:line="360" w:lineRule="auto"/>
              <w:jc w:val="center"/>
              <w:rPr>
                <w:rFonts w:ascii="宋体" w:hAnsi="宋体"/>
                <w:szCs w:val="21"/>
              </w:rPr>
            </w:pPr>
          </w:p>
        </w:tc>
        <w:tc>
          <w:tcPr>
            <w:tcW w:w="2445" w:type="dxa"/>
            <w:vAlign w:val="center"/>
          </w:tcPr>
          <w:p>
            <w:pPr>
              <w:spacing w:line="360" w:lineRule="auto"/>
              <w:jc w:val="center"/>
              <w:rPr>
                <w:rFonts w:ascii="宋体" w:hAnsi="宋体"/>
                <w:szCs w:val="21"/>
              </w:rPr>
            </w:pPr>
          </w:p>
        </w:tc>
        <w:tc>
          <w:tcPr>
            <w:tcW w:w="2415" w:type="dxa"/>
          </w:tcPr>
          <w:p>
            <w:pPr>
              <w:spacing w:line="360" w:lineRule="auto"/>
              <w:jc w:val="center"/>
              <w:rPr>
                <w:rFonts w:ascii="宋体" w:hAnsi="宋体"/>
                <w:szCs w:val="21"/>
              </w:rPr>
            </w:pPr>
          </w:p>
        </w:tc>
        <w:tc>
          <w:tcPr>
            <w:tcW w:w="2101" w:type="dxa"/>
          </w:tcPr>
          <w:p>
            <w:pPr>
              <w:spacing w:line="360"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exact"/>
        </w:trPr>
        <w:tc>
          <w:tcPr>
            <w:tcW w:w="739" w:type="dxa"/>
            <w:vAlign w:val="center"/>
          </w:tcPr>
          <w:p>
            <w:pPr>
              <w:spacing w:line="360" w:lineRule="auto"/>
              <w:jc w:val="center"/>
              <w:rPr>
                <w:rFonts w:ascii="宋体" w:hAnsi="宋体"/>
                <w:szCs w:val="21"/>
              </w:rPr>
            </w:pPr>
          </w:p>
        </w:tc>
        <w:tc>
          <w:tcPr>
            <w:tcW w:w="1081" w:type="dxa"/>
            <w:vAlign w:val="center"/>
          </w:tcPr>
          <w:p>
            <w:pPr>
              <w:spacing w:line="360" w:lineRule="auto"/>
              <w:jc w:val="center"/>
              <w:rPr>
                <w:rFonts w:ascii="宋体" w:hAnsi="宋体"/>
                <w:szCs w:val="21"/>
              </w:rPr>
            </w:pPr>
          </w:p>
        </w:tc>
        <w:tc>
          <w:tcPr>
            <w:tcW w:w="825" w:type="dxa"/>
            <w:vAlign w:val="center"/>
          </w:tcPr>
          <w:p>
            <w:pPr>
              <w:spacing w:line="360" w:lineRule="auto"/>
              <w:jc w:val="center"/>
              <w:rPr>
                <w:rFonts w:ascii="宋体" w:hAnsi="宋体"/>
                <w:szCs w:val="21"/>
              </w:rPr>
            </w:pPr>
          </w:p>
        </w:tc>
        <w:tc>
          <w:tcPr>
            <w:tcW w:w="2445" w:type="dxa"/>
            <w:vAlign w:val="center"/>
          </w:tcPr>
          <w:p>
            <w:pPr>
              <w:spacing w:line="360" w:lineRule="auto"/>
              <w:jc w:val="center"/>
              <w:rPr>
                <w:rFonts w:ascii="宋体" w:hAnsi="宋体"/>
                <w:szCs w:val="21"/>
              </w:rPr>
            </w:pPr>
          </w:p>
        </w:tc>
        <w:tc>
          <w:tcPr>
            <w:tcW w:w="2415" w:type="dxa"/>
          </w:tcPr>
          <w:p>
            <w:pPr>
              <w:spacing w:line="360" w:lineRule="auto"/>
              <w:jc w:val="center"/>
              <w:rPr>
                <w:rFonts w:ascii="宋体" w:hAnsi="宋体"/>
                <w:szCs w:val="21"/>
              </w:rPr>
            </w:pPr>
          </w:p>
        </w:tc>
        <w:tc>
          <w:tcPr>
            <w:tcW w:w="2101" w:type="dxa"/>
          </w:tcPr>
          <w:p>
            <w:pPr>
              <w:spacing w:line="360"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exact"/>
        </w:trPr>
        <w:tc>
          <w:tcPr>
            <w:tcW w:w="739" w:type="dxa"/>
            <w:vAlign w:val="center"/>
          </w:tcPr>
          <w:p>
            <w:pPr>
              <w:spacing w:line="360" w:lineRule="auto"/>
              <w:jc w:val="center"/>
              <w:rPr>
                <w:rFonts w:ascii="宋体" w:hAnsi="宋体"/>
                <w:szCs w:val="21"/>
              </w:rPr>
            </w:pPr>
          </w:p>
        </w:tc>
        <w:tc>
          <w:tcPr>
            <w:tcW w:w="1081" w:type="dxa"/>
            <w:vAlign w:val="center"/>
          </w:tcPr>
          <w:p>
            <w:pPr>
              <w:spacing w:line="360" w:lineRule="auto"/>
              <w:jc w:val="center"/>
              <w:rPr>
                <w:rFonts w:ascii="宋体" w:hAnsi="宋体"/>
                <w:szCs w:val="21"/>
              </w:rPr>
            </w:pPr>
          </w:p>
        </w:tc>
        <w:tc>
          <w:tcPr>
            <w:tcW w:w="825" w:type="dxa"/>
            <w:vAlign w:val="center"/>
          </w:tcPr>
          <w:p>
            <w:pPr>
              <w:spacing w:line="360" w:lineRule="auto"/>
              <w:jc w:val="center"/>
              <w:rPr>
                <w:rFonts w:ascii="宋体" w:hAnsi="宋体"/>
                <w:szCs w:val="21"/>
              </w:rPr>
            </w:pPr>
          </w:p>
        </w:tc>
        <w:tc>
          <w:tcPr>
            <w:tcW w:w="2445" w:type="dxa"/>
            <w:vAlign w:val="center"/>
          </w:tcPr>
          <w:p>
            <w:pPr>
              <w:spacing w:line="360" w:lineRule="auto"/>
              <w:jc w:val="center"/>
              <w:rPr>
                <w:rFonts w:ascii="宋体" w:hAnsi="宋体"/>
                <w:szCs w:val="21"/>
              </w:rPr>
            </w:pPr>
          </w:p>
        </w:tc>
        <w:tc>
          <w:tcPr>
            <w:tcW w:w="2415" w:type="dxa"/>
          </w:tcPr>
          <w:p>
            <w:pPr>
              <w:spacing w:line="360" w:lineRule="auto"/>
              <w:jc w:val="center"/>
              <w:rPr>
                <w:rFonts w:ascii="宋体" w:hAnsi="宋体"/>
                <w:szCs w:val="21"/>
              </w:rPr>
            </w:pPr>
          </w:p>
        </w:tc>
        <w:tc>
          <w:tcPr>
            <w:tcW w:w="2101" w:type="dxa"/>
          </w:tcPr>
          <w:p>
            <w:pPr>
              <w:spacing w:line="360"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exact"/>
        </w:trPr>
        <w:tc>
          <w:tcPr>
            <w:tcW w:w="739" w:type="dxa"/>
            <w:vAlign w:val="center"/>
          </w:tcPr>
          <w:p>
            <w:pPr>
              <w:spacing w:line="360" w:lineRule="auto"/>
              <w:jc w:val="center"/>
              <w:rPr>
                <w:rFonts w:ascii="宋体" w:hAnsi="宋体"/>
                <w:szCs w:val="21"/>
              </w:rPr>
            </w:pPr>
            <w:r>
              <w:rPr>
                <w:rFonts w:hint="eastAsia" w:ascii="宋体" w:hAnsi="宋体"/>
                <w:szCs w:val="21"/>
              </w:rPr>
              <w:t>…</w:t>
            </w:r>
          </w:p>
        </w:tc>
        <w:tc>
          <w:tcPr>
            <w:tcW w:w="1081" w:type="dxa"/>
            <w:vAlign w:val="center"/>
          </w:tcPr>
          <w:p>
            <w:pPr>
              <w:spacing w:line="360" w:lineRule="auto"/>
              <w:jc w:val="center"/>
              <w:rPr>
                <w:rFonts w:ascii="宋体" w:hAnsi="宋体"/>
                <w:szCs w:val="21"/>
              </w:rPr>
            </w:pPr>
          </w:p>
        </w:tc>
        <w:tc>
          <w:tcPr>
            <w:tcW w:w="825" w:type="dxa"/>
            <w:vAlign w:val="center"/>
          </w:tcPr>
          <w:p>
            <w:pPr>
              <w:spacing w:line="360" w:lineRule="auto"/>
              <w:jc w:val="center"/>
              <w:rPr>
                <w:rFonts w:ascii="宋体" w:hAnsi="宋体"/>
                <w:szCs w:val="21"/>
              </w:rPr>
            </w:pPr>
          </w:p>
        </w:tc>
        <w:tc>
          <w:tcPr>
            <w:tcW w:w="2445" w:type="dxa"/>
            <w:vAlign w:val="center"/>
          </w:tcPr>
          <w:p>
            <w:pPr>
              <w:spacing w:line="360" w:lineRule="auto"/>
              <w:jc w:val="center"/>
              <w:rPr>
                <w:rFonts w:ascii="宋体" w:hAnsi="宋体"/>
                <w:szCs w:val="21"/>
              </w:rPr>
            </w:pPr>
          </w:p>
        </w:tc>
        <w:tc>
          <w:tcPr>
            <w:tcW w:w="2415" w:type="dxa"/>
          </w:tcPr>
          <w:p>
            <w:pPr>
              <w:spacing w:line="360" w:lineRule="auto"/>
              <w:jc w:val="center"/>
              <w:rPr>
                <w:rFonts w:ascii="宋体" w:hAnsi="宋体"/>
                <w:szCs w:val="21"/>
              </w:rPr>
            </w:pPr>
          </w:p>
        </w:tc>
        <w:tc>
          <w:tcPr>
            <w:tcW w:w="2101" w:type="dxa"/>
          </w:tcPr>
          <w:p>
            <w:pPr>
              <w:spacing w:line="360" w:lineRule="auto"/>
              <w:jc w:val="center"/>
              <w:rPr>
                <w:rFonts w:ascii="宋体" w:hAnsi="宋体"/>
                <w:szCs w:val="21"/>
              </w:rPr>
            </w:pPr>
          </w:p>
        </w:tc>
      </w:tr>
    </w:tbl>
    <w:p>
      <w:pPr>
        <w:rPr>
          <w:rFonts w:ascii="宋体" w:hAnsi="宋体"/>
          <w:color w:val="000000"/>
          <w:szCs w:val="21"/>
        </w:rPr>
      </w:pPr>
      <w:r>
        <w:rPr>
          <w:rFonts w:hint="eastAsia" w:ascii="宋体" w:hAnsi="宋体"/>
          <w:color w:val="000000"/>
          <w:szCs w:val="21"/>
        </w:rPr>
        <w:t>注：投标人必须如实填写上表。</w:t>
      </w:r>
    </w:p>
    <w:p>
      <w:pPr>
        <w:spacing w:line="360" w:lineRule="auto"/>
        <w:ind w:firstLine="480" w:firstLineChars="200"/>
        <w:rPr>
          <w:rFonts w:ascii="宋体" w:hAnsi="宋体"/>
          <w:szCs w:val="21"/>
        </w:rPr>
      </w:pPr>
    </w:p>
    <w:p>
      <w:pPr>
        <w:spacing w:line="360" w:lineRule="auto"/>
        <w:ind w:firstLine="480" w:firstLineChars="200"/>
        <w:rPr>
          <w:rFonts w:ascii="宋体" w:hAnsi="宋体"/>
          <w:szCs w:val="21"/>
        </w:rPr>
      </w:pPr>
      <w:r>
        <w:rPr>
          <w:rFonts w:hint="eastAsia" w:ascii="宋体" w:hAnsi="宋体"/>
          <w:szCs w:val="21"/>
        </w:rPr>
        <w:t>投标人名称（全称并加盖公章）：</w:t>
      </w:r>
    </w:p>
    <w:p>
      <w:pPr>
        <w:spacing w:line="360" w:lineRule="auto"/>
        <w:ind w:firstLine="480" w:firstLineChars="200"/>
        <w:rPr>
          <w:rFonts w:ascii="宋体" w:hAnsi="宋体"/>
          <w:szCs w:val="21"/>
        </w:rPr>
      </w:pPr>
      <w:r>
        <w:rPr>
          <w:rFonts w:hint="eastAsia" w:ascii="宋体" w:hAnsi="宋体"/>
          <w:szCs w:val="21"/>
        </w:rPr>
        <w:t>法定代表人或其委托代理人（签字）：</w:t>
      </w:r>
    </w:p>
    <w:p>
      <w:pPr>
        <w:spacing w:line="360" w:lineRule="auto"/>
        <w:ind w:firstLine="480" w:firstLineChars="200"/>
        <w:rPr>
          <w:rFonts w:ascii="宋体" w:hAnsi="宋体"/>
          <w:szCs w:val="21"/>
        </w:rPr>
      </w:pPr>
    </w:p>
    <w:p>
      <w:pPr>
        <w:spacing w:line="360" w:lineRule="auto"/>
        <w:ind w:firstLine="480" w:firstLineChars="200"/>
        <w:rPr>
          <w:rFonts w:ascii="宋体" w:hAnsi="宋体"/>
          <w:szCs w:val="21"/>
        </w:rPr>
      </w:pPr>
    </w:p>
    <w:p>
      <w:pPr>
        <w:spacing w:line="360" w:lineRule="auto"/>
        <w:ind w:firstLine="480" w:firstLineChars="200"/>
        <w:jc w:val="right"/>
        <w:rPr>
          <w:rFonts w:ascii="宋体" w:hAnsi="宋体"/>
          <w:szCs w:val="21"/>
        </w:rPr>
      </w:pPr>
      <w:r>
        <w:rPr>
          <w:rFonts w:hint="eastAsia" w:ascii="宋体" w:hAnsi="宋体"/>
          <w:szCs w:val="21"/>
        </w:rPr>
        <w:t xml:space="preserve"> 年  月  日</w:t>
      </w:r>
    </w:p>
    <w:p>
      <w:pPr>
        <w:spacing w:line="360" w:lineRule="auto"/>
        <w:rPr>
          <w:rFonts w:ascii="宋体" w:hAnsi="宋体"/>
          <w:sz w:val="28"/>
          <w:szCs w:val="28"/>
        </w:rPr>
      </w:pPr>
    </w:p>
    <w:p>
      <w:pPr>
        <w:spacing w:line="360" w:lineRule="auto"/>
        <w:rPr>
          <w:rFonts w:ascii="宋体" w:hAnsi="宋体"/>
          <w:color w:val="000000"/>
        </w:rPr>
      </w:pPr>
    </w:p>
    <w:p>
      <w:pPr>
        <w:spacing w:line="360" w:lineRule="auto"/>
        <w:rPr>
          <w:rFonts w:ascii="宋体" w:hAnsi="宋体"/>
          <w:color w:val="000000"/>
        </w:rPr>
      </w:pPr>
    </w:p>
    <w:p>
      <w:pPr>
        <w:spacing w:line="360" w:lineRule="auto"/>
        <w:rPr>
          <w:rFonts w:ascii="宋体" w:hAnsi="宋体"/>
          <w:color w:val="000000"/>
        </w:rPr>
      </w:pPr>
    </w:p>
    <w:p>
      <w:pPr>
        <w:numPr>
          <w:ilvl w:val="3"/>
          <w:numId w:val="48"/>
        </w:numPr>
        <w:spacing w:line="360" w:lineRule="auto"/>
        <w:jc w:val="center"/>
        <w:rPr>
          <w:rFonts w:ascii="宋体" w:hAnsi="宋体"/>
          <w:b/>
          <w:bCs/>
          <w:sz w:val="32"/>
          <w:szCs w:val="32"/>
        </w:rPr>
      </w:pPr>
      <w:r>
        <w:rPr>
          <w:rFonts w:hint="eastAsia" w:ascii="宋体" w:hAnsi="宋体"/>
          <w:b/>
          <w:bCs/>
          <w:sz w:val="32"/>
          <w:szCs w:val="32"/>
        </w:rPr>
        <w:t>反商业贿赂承诺书</w:t>
      </w:r>
    </w:p>
    <w:p>
      <w:pPr>
        <w:spacing w:line="360" w:lineRule="auto"/>
        <w:ind w:firstLine="480" w:firstLineChars="200"/>
        <w:rPr>
          <w:rFonts w:ascii="宋体" w:hAnsi="宋体"/>
          <w:szCs w:val="21"/>
        </w:rPr>
      </w:pPr>
    </w:p>
    <w:p>
      <w:pPr>
        <w:spacing w:line="360" w:lineRule="auto"/>
        <w:ind w:firstLine="480" w:firstLineChars="200"/>
        <w:rPr>
          <w:rFonts w:ascii="宋体" w:hAnsi="宋体"/>
          <w:szCs w:val="21"/>
        </w:rPr>
      </w:pPr>
      <w:r>
        <w:rPr>
          <w:rFonts w:hint="eastAsia" w:ascii="宋体" w:hAnsi="宋体"/>
          <w:szCs w:val="21"/>
        </w:rPr>
        <w:t>我单位承诺：</w:t>
      </w:r>
    </w:p>
    <w:p>
      <w:pPr>
        <w:spacing w:line="360" w:lineRule="auto"/>
        <w:ind w:firstLine="480" w:firstLineChars="200"/>
        <w:rPr>
          <w:rFonts w:ascii="宋体" w:hAnsi="宋体"/>
          <w:szCs w:val="21"/>
        </w:rPr>
      </w:pPr>
      <w:r>
        <w:rPr>
          <w:rFonts w:hint="eastAsia" w:ascii="宋体" w:hAnsi="宋体"/>
          <w:szCs w:val="21"/>
        </w:rPr>
        <w:t>在</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rPr>
        <w:t>招标活动中，我单位保证做到：</w:t>
      </w:r>
    </w:p>
    <w:p>
      <w:pPr>
        <w:spacing w:line="360" w:lineRule="auto"/>
        <w:ind w:firstLine="480" w:firstLineChars="200"/>
        <w:rPr>
          <w:rFonts w:ascii="宋体" w:hAnsi="宋体"/>
          <w:szCs w:val="21"/>
        </w:rPr>
      </w:pPr>
      <w:r>
        <w:rPr>
          <w:rFonts w:hint="eastAsia" w:ascii="宋体" w:hAnsi="宋体"/>
          <w:szCs w:val="21"/>
        </w:rPr>
        <w:t>一、公平竞争参加本次采购活动。</w:t>
      </w:r>
    </w:p>
    <w:p>
      <w:pPr>
        <w:spacing w:line="360" w:lineRule="auto"/>
        <w:ind w:firstLine="480" w:firstLineChars="200"/>
        <w:rPr>
          <w:rFonts w:ascii="宋体" w:hAnsi="宋体"/>
          <w:szCs w:val="21"/>
        </w:rPr>
      </w:pPr>
      <w:r>
        <w:rPr>
          <w:rFonts w:hint="eastAsia" w:ascii="宋体" w:hAnsi="宋体"/>
          <w:szCs w:val="21"/>
        </w:rPr>
        <w:t>二、杜绝任何形式的商业贿赂行为。不向国家工作人员、采购代理机构工作人员、评审专家及其亲属提供礼品、有价证券、购物券、回扣、佣金、咨询费、劳务费、赞助费、宣传费、宴请；不为其报销各种消费凭证，不支付其旅游、娱乐等费用。</w:t>
      </w:r>
    </w:p>
    <w:p>
      <w:pPr>
        <w:spacing w:line="360" w:lineRule="auto"/>
        <w:ind w:firstLine="480" w:firstLineChars="200"/>
        <w:rPr>
          <w:rFonts w:ascii="宋体" w:hAnsi="宋体"/>
          <w:szCs w:val="21"/>
        </w:rPr>
      </w:pPr>
      <w:r>
        <w:rPr>
          <w:rFonts w:hint="eastAsia" w:ascii="宋体" w:hAnsi="宋体"/>
          <w:szCs w:val="21"/>
        </w:rPr>
        <w:t>三、若出现上述行为，我单位及参与投标的工作人员愿意接受按照国家法律法规等有关规定给予的处罚。</w:t>
      </w:r>
    </w:p>
    <w:p>
      <w:pPr>
        <w:spacing w:line="360" w:lineRule="auto"/>
        <w:ind w:firstLine="480" w:firstLineChars="200"/>
        <w:rPr>
          <w:rFonts w:ascii="宋体" w:hAnsi="宋体"/>
          <w:szCs w:val="21"/>
        </w:rPr>
      </w:pPr>
    </w:p>
    <w:p>
      <w:pPr>
        <w:spacing w:line="360" w:lineRule="auto"/>
        <w:ind w:firstLine="480" w:firstLineChars="200"/>
        <w:rPr>
          <w:rFonts w:ascii="宋体" w:hAnsi="宋体"/>
          <w:szCs w:val="21"/>
        </w:rPr>
      </w:pPr>
    </w:p>
    <w:p>
      <w:pPr>
        <w:spacing w:line="360" w:lineRule="auto"/>
        <w:ind w:firstLine="480" w:firstLineChars="200"/>
        <w:rPr>
          <w:rFonts w:ascii="宋体" w:hAnsi="宋体"/>
          <w:szCs w:val="21"/>
        </w:rPr>
      </w:pPr>
      <w:r>
        <w:rPr>
          <w:rFonts w:hint="eastAsia" w:ascii="宋体" w:hAnsi="宋体"/>
          <w:szCs w:val="21"/>
        </w:rPr>
        <w:t>投标人名称（全称并加盖公章）：</w:t>
      </w:r>
    </w:p>
    <w:p>
      <w:pPr>
        <w:spacing w:line="360" w:lineRule="auto"/>
        <w:ind w:firstLine="480" w:firstLineChars="200"/>
        <w:rPr>
          <w:rFonts w:ascii="宋体" w:hAnsi="宋体"/>
          <w:szCs w:val="21"/>
        </w:rPr>
      </w:pPr>
      <w:r>
        <w:rPr>
          <w:rFonts w:hint="eastAsia" w:ascii="宋体" w:hAnsi="宋体"/>
          <w:szCs w:val="21"/>
        </w:rPr>
        <w:t>法定代表人或其委托代理人（签字）：</w:t>
      </w:r>
    </w:p>
    <w:p>
      <w:pPr>
        <w:spacing w:line="360" w:lineRule="auto"/>
        <w:ind w:firstLine="480" w:firstLineChars="200"/>
        <w:rPr>
          <w:rFonts w:ascii="宋体" w:hAnsi="宋体"/>
          <w:szCs w:val="21"/>
        </w:rPr>
      </w:pPr>
    </w:p>
    <w:p>
      <w:pPr>
        <w:spacing w:line="360" w:lineRule="auto"/>
        <w:ind w:firstLine="480" w:firstLineChars="200"/>
        <w:rPr>
          <w:rFonts w:ascii="宋体" w:hAnsi="宋体"/>
          <w:szCs w:val="21"/>
        </w:rPr>
      </w:pPr>
      <w:r>
        <w:rPr>
          <w:rFonts w:hint="eastAsia" w:ascii="宋体" w:hAnsi="宋体"/>
          <w:szCs w:val="21"/>
        </w:rPr>
        <w:t xml:space="preserve">                                     年   月   日</w:t>
      </w:r>
    </w:p>
    <w:p>
      <w:pPr>
        <w:snapToGrid w:val="0"/>
        <w:rPr>
          <w:rFonts w:ascii="宋体" w:hAnsi="宋体"/>
          <w:color w:val="000000"/>
          <w:sz w:val="28"/>
          <w:szCs w:val="28"/>
        </w:rPr>
      </w:pPr>
    </w:p>
    <w:p>
      <w:pPr>
        <w:snapToGrid w:val="0"/>
        <w:rPr>
          <w:rFonts w:ascii="宋体" w:hAnsi="宋体"/>
          <w:color w:val="000000"/>
          <w:sz w:val="28"/>
          <w:szCs w:val="28"/>
        </w:rPr>
      </w:pPr>
    </w:p>
    <w:p>
      <w:pPr>
        <w:snapToGrid w:val="0"/>
        <w:rPr>
          <w:rFonts w:ascii="宋体" w:hAnsi="宋体"/>
          <w:color w:val="000000"/>
          <w:sz w:val="28"/>
          <w:szCs w:val="28"/>
        </w:rPr>
      </w:pPr>
    </w:p>
    <w:p>
      <w:pPr>
        <w:snapToGrid w:val="0"/>
        <w:rPr>
          <w:rFonts w:ascii="宋体" w:hAnsi="宋体"/>
          <w:color w:val="000000"/>
          <w:sz w:val="28"/>
          <w:szCs w:val="28"/>
        </w:rPr>
      </w:pPr>
    </w:p>
    <w:p>
      <w:pPr>
        <w:snapToGrid w:val="0"/>
        <w:rPr>
          <w:rFonts w:ascii="宋体" w:hAnsi="宋体"/>
          <w:color w:val="000000"/>
          <w:sz w:val="28"/>
          <w:szCs w:val="28"/>
        </w:rPr>
      </w:pPr>
    </w:p>
    <w:p>
      <w:pPr>
        <w:snapToGrid w:val="0"/>
        <w:rPr>
          <w:rFonts w:ascii="宋体" w:hAnsi="宋体"/>
          <w:color w:val="000000"/>
          <w:sz w:val="28"/>
          <w:szCs w:val="28"/>
        </w:rPr>
      </w:pPr>
    </w:p>
    <w:p>
      <w:pPr>
        <w:snapToGrid w:val="0"/>
        <w:rPr>
          <w:rFonts w:ascii="宋体" w:hAnsi="宋体"/>
          <w:color w:val="000000"/>
          <w:sz w:val="28"/>
          <w:szCs w:val="28"/>
        </w:rPr>
      </w:pPr>
    </w:p>
    <w:p>
      <w:pPr>
        <w:snapToGrid w:val="0"/>
        <w:rPr>
          <w:rFonts w:ascii="宋体" w:hAnsi="宋体"/>
          <w:color w:val="000000"/>
          <w:sz w:val="28"/>
          <w:szCs w:val="28"/>
        </w:rPr>
      </w:pPr>
    </w:p>
    <w:p>
      <w:pPr>
        <w:snapToGrid w:val="0"/>
        <w:rPr>
          <w:rFonts w:ascii="宋体" w:hAnsi="宋体"/>
          <w:color w:val="000000"/>
          <w:sz w:val="28"/>
          <w:szCs w:val="28"/>
        </w:rPr>
      </w:pPr>
    </w:p>
    <w:p>
      <w:pPr>
        <w:snapToGrid w:val="0"/>
        <w:rPr>
          <w:rFonts w:ascii="宋体" w:hAnsi="宋体"/>
          <w:color w:val="000000"/>
          <w:sz w:val="28"/>
          <w:szCs w:val="28"/>
        </w:rPr>
      </w:pPr>
    </w:p>
    <w:p>
      <w:pPr>
        <w:spacing w:line="360" w:lineRule="auto"/>
        <w:rPr>
          <w:rFonts w:ascii="宋体" w:hAnsi="宋体"/>
          <w:color w:val="000000"/>
        </w:rPr>
      </w:pPr>
      <w:bookmarkStart w:id="36" w:name="OLE_LINK13"/>
      <w:bookmarkStart w:id="37" w:name="OLE_LINK14"/>
    </w:p>
    <w:bookmarkEnd w:id="36"/>
    <w:bookmarkEnd w:id="37"/>
    <w:p>
      <w:pPr>
        <w:numPr>
          <w:ilvl w:val="3"/>
          <w:numId w:val="48"/>
        </w:numPr>
        <w:spacing w:line="360" w:lineRule="auto"/>
        <w:jc w:val="center"/>
        <w:rPr>
          <w:rFonts w:ascii="宋体" w:hAnsi="宋体"/>
          <w:b/>
          <w:bCs/>
          <w:sz w:val="32"/>
          <w:szCs w:val="32"/>
        </w:rPr>
      </w:pPr>
      <w:r>
        <w:rPr>
          <w:rFonts w:hint="eastAsia" w:ascii="宋体" w:hAnsi="宋体"/>
          <w:b/>
          <w:bCs/>
          <w:sz w:val="32"/>
          <w:szCs w:val="32"/>
        </w:rPr>
        <w:t>中小企业声明函</w:t>
      </w:r>
    </w:p>
    <w:p>
      <w:pPr>
        <w:spacing w:line="560" w:lineRule="exact"/>
        <w:ind w:firstLine="480" w:firstLineChars="200"/>
        <w:rPr>
          <w:rFonts w:ascii="宋体" w:hAnsi="宋体"/>
          <w:szCs w:val="21"/>
        </w:rPr>
      </w:pPr>
      <w:r>
        <w:rPr>
          <w:rFonts w:hint="eastAsia" w:ascii="宋体" w:hAnsi="宋体"/>
          <w:szCs w:val="21"/>
        </w:rPr>
        <w:t>本公司郑重声明，根据《政府采购促进中小企业发展暂行办法》（财库【2011】181号）的规定，本公司为</w:t>
      </w:r>
      <w:r>
        <w:rPr>
          <w:rFonts w:hint="eastAsia" w:ascii="宋体" w:hAnsi="宋体"/>
          <w:szCs w:val="21"/>
          <w:u w:val="single"/>
          <w:lang w:val="en-US" w:eastAsia="zh-CN"/>
        </w:rPr>
        <w:t xml:space="preserve">                     </w:t>
      </w:r>
      <w:r>
        <w:rPr>
          <w:rFonts w:hint="eastAsia" w:ascii="宋体" w:hAnsi="宋体"/>
          <w:szCs w:val="21"/>
        </w:rPr>
        <w:t>（请填写：中型、小型、微型）企业。即，本公司同时满足以下条件：</w:t>
      </w:r>
    </w:p>
    <w:p>
      <w:pPr>
        <w:numPr>
          <w:ilvl w:val="0"/>
          <w:numId w:val="50"/>
        </w:numPr>
        <w:spacing w:line="560" w:lineRule="exact"/>
        <w:ind w:firstLine="480" w:firstLineChars="200"/>
        <w:rPr>
          <w:rFonts w:ascii="宋体" w:hAnsi="宋体"/>
          <w:szCs w:val="21"/>
        </w:rPr>
      </w:pPr>
      <w:r>
        <w:rPr>
          <w:rFonts w:hint="eastAsia" w:ascii="宋体" w:hAnsi="宋体"/>
          <w:szCs w:val="21"/>
        </w:rPr>
        <w:t>根据《工业和信息化部、国家统计局、国家发展和改革委员会、财政部关于印发中小企业划型标准规定的通知》（工信部联企业【2011】300号）规定的划分标准，本公司为（请填写：中型、小型、微型）企业。</w:t>
      </w:r>
    </w:p>
    <w:p>
      <w:pPr>
        <w:numPr>
          <w:ilvl w:val="0"/>
          <w:numId w:val="50"/>
        </w:numPr>
        <w:spacing w:line="560" w:lineRule="exact"/>
        <w:ind w:firstLine="480" w:firstLineChars="200"/>
        <w:rPr>
          <w:rFonts w:ascii="宋体" w:hAnsi="宋体"/>
          <w:szCs w:val="21"/>
        </w:rPr>
      </w:pPr>
      <w:r>
        <w:rPr>
          <w:rFonts w:hint="eastAsia" w:ascii="宋体" w:hAnsi="宋体"/>
          <w:szCs w:val="21"/>
        </w:rPr>
        <w:t>本公司参加</w:t>
      </w:r>
      <w:r>
        <w:rPr>
          <w:rFonts w:hint="eastAsia" w:ascii="宋体" w:hAnsi="宋体"/>
          <w:szCs w:val="21"/>
          <w:lang w:val="en-US" w:eastAsia="zh-CN"/>
        </w:rPr>
        <w:t xml:space="preserve"> </w:t>
      </w:r>
      <w:r>
        <w:rPr>
          <w:rFonts w:hint="eastAsia" w:ascii="宋体" w:hAnsi="宋体"/>
          <w:szCs w:val="21"/>
          <w:u w:val="single"/>
          <w:lang w:val="en-US" w:eastAsia="zh-CN"/>
        </w:rPr>
        <w:t xml:space="preserve">               </w:t>
      </w:r>
      <w:r>
        <w:rPr>
          <w:rFonts w:hint="eastAsia" w:ascii="宋体" w:hAnsi="宋体"/>
          <w:szCs w:val="21"/>
        </w:rPr>
        <w:t>单位的</w:t>
      </w:r>
      <w:r>
        <w:rPr>
          <w:rFonts w:hint="eastAsia" w:ascii="宋体" w:hAnsi="宋体"/>
          <w:szCs w:val="21"/>
          <w:u w:val="single"/>
          <w:lang w:val="en-US" w:eastAsia="zh-CN"/>
        </w:rPr>
        <w:t xml:space="preserve">                        </w:t>
      </w:r>
      <w:r>
        <w:rPr>
          <w:rFonts w:hint="eastAsia" w:ascii="宋体" w:hAnsi="宋体"/>
          <w:szCs w:val="21"/>
        </w:rPr>
        <w:t>项目采购活动提供本企业制造的货物，由本企业承担工程、提供服务，或者提供其他</w:t>
      </w:r>
      <w:r>
        <w:rPr>
          <w:rFonts w:hint="eastAsia" w:ascii="宋体" w:hAnsi="宋体"/>
          <w:szCs w:val="21"/>
          <w:u w:val="single"/>
          <w:lang w:val="en-US" w:eastAsia="zh-CN"/>
        </w:rPr>
        <w:t xml:space="preserve">                      </w:t>
      </w:r>
      <w:r>
        <w:rPr>
          <w:rFonts w:hint="eastAsia" w:ascii="宋体" w:hAnsi="宋体"/>
          <w:szCs w:val="21"/>
        </w:rPr>
        <w:t>（请填写：中型、小型、微型）企业制造的货物。本条所称货物不包括使用大型企业注册商标的货物。</w:t>
      </w:r>
    </w:p>
    <w:p>
      <w:pPr>
        <w:spacing w:line="560" w:lineRule="exact"/>
        <w:ind w:firstLine="480" w:firstLineChars="200"/>
        <w:rPr>
          <w:rFonts w:ascii="宋体" w:hAnsi="宋体"/>
          <w:szCs w:val="21"/>
        </w:rPr>
      </w:pPr>
      <w:r>
        <w:rPr>
          <w:rFonts w:hint="eastAsia" w:ascii="宋体" w:hAnsi="宋体"/>
          <w:szCs w:val="21"/>
        </w:rPr>
        <w:t xml:space="preserve">  本公司对上述声明的真实性负责。如有虚假。将依法承担相应责任。</w:t>
      </w:r>
    </w:p>
    <w:p>
      <w:pPr>
        <w:spacing w:line="560" w:lineRule="exact"/>
        <w:ind w:firstLine="480" w:firstLineChars="200"/>
        <w:jc w:val="right"/>
        <w:rPr>
          <w:rFonts w:ascii="宋体" w:hAnsi="宋体"/>
          <w:szCs w:val="21"/>
        </w:rPr>
      </w:pPr>
      <w:r>
        <w:rPr>
          <w:rFonts w:hint="eastAsia" w:ascii="宋体" w:hAnsi="宋体"/>
          <w:szCs w:val="21"/>
        </w:rPr>
        <w:t>企业名称（盖章）</w:t>
      </w:r>
    </w:p>
    <w:p>
      <w:pPr>
        <w:spacing w:line="560" w:lineRule="exact"/>
        <w:ind w:firstLine="480" w:firstLineChars="200"/>
        <w:jc w:val="right"/>
        <w:rPr>
          <w:rFonts w:ascii="宋体" w:hAnsi="宋体"/>
          <w:szCs w:val="21"/>
        </w:rPr>
      </w:pPr>
      <w:r>
        <w:rPr>
          <w:rFonts w:hint="eastAsia" w:ascii="宋体" w:hAnsi="宋体"/>
          <w:szCs w:val="21"/>
        </w:rPr>
        <w:t>日 期：</w:t>
      </w:r>
    </w:p>
    <w:p>
      <w:pPr>
        <w:adjustRightInd w:val="0"/>
        <w:snapToGrid w:val="0"/>
        <w:spacing w:line="400" w:lineRule="exact"/>
        <w:jc w:val="left"/>
        <w:textAlignment w:val="baseline"/>
        <w:rPr>
          <w:rFonts w:ascii="宋体" w:hAnsi="宋体"/>
          <w:color w:val="000000"/>
          <w:szCs w:val="21"/>
        </w:rPr>
      </w:pPr>
    </w:p>
    <w:p>
      <w:pPr>
        <w:spacing w:line="360" w:lineRule="auto"/>
        <w:rPr>
          <w:rFonts w:ascii="宋体" w:hAnsi="宋体"/>
          <w:b/>
          <w:szCs w:val="21"/>
        </w:rPr>
      </w:pPr>
      <w:r>
        <w:rPr>
          <w:rFonts w:hint="eastAsia" w:ascii="宋体" w:hAnsi="宋体"/>
          <w:b/>
          <w:szCs w:val="21"/>
        </w:rPr>
        <w:t>说明：非小型、微型企业无需填写、递交该声明。</w:t>
      </w:r>
    </w:p>
    <w:p>
      <w:pPr>
        <w:widowControl/>
        <w:spacing w:line="580" w:lineRule="atLeast"/>
        <w:rPr>
          <w:rFonts w:ascii="宋体" w:hAnsi="宋体"/>
        </w:rPr>
      </w:pPr>
    </w:p>
    <w:p>
      <w:pPr>
        <w:widowControl/>
        <w:spacing w:line="580" w:lineRule="atLeast"/>
        <w:rPr>
          <w:rFonts w:ascii="宋体" w:hAnsi="宋体"/>
        </w:rPr>
      </w:pPr>
    </w:p>
    <w:p>
      <w:pPr>
        <w:widowControl/>
        <w:spacing w:line="580" w:lineRule="atLeast"/>
        <w:rPr>
          <w:rFonts w:ascii="宋体" w:hAnsi="宋体"/>
        </w:rPr>
      </w:pPr>
    </w:p>
    <w:p>
      <w:pPr>
        <w:widowControl/>
        <w:spacing w:line="580" w:lineRule="atLeast"/>
        <w:rPr>
          <w:rFonts w:ascii="宋体" w:hAnsi="宋体"/>
        </w:rPr>
      </w:pPr>
    </w:p>
    <w:p>
      <w:pPr>
        <w:widowControl/>
        <w:spacing w:line="580" w:lineRule="atLeast"/>
        <w:rPr>
          <w:rFonts w:ascii="宋体" w:hAnsi="宋体"/>
        </w:rPr>
      </w:pPr>
    </w:p>
    <w:p>
      <w:pPr>
        <w:widowControl/>
        <w:spacing w:line="580" w:lineRule="atLeast"/>
        <w:rPr>
          <w:rFonts w:ascii="宋体" w:hAnsi="宋体"/>
        </w:rPr>
      </w:pPr>
    </w:p>
    <w:p>
      <w:pPr>
        <w:widowControl/>
        <w:spacing w:line="580" w:lineRule="atLeast"/>
        <w:rPr>
          <w:rFonts w:ascii="宋体" w:hAnsi="宋体"/>
        </w:rPr>
      </w:pPr>
    </w:p>
    <w:p>
      <w:pPr>
        <w:pStyle w:val="26"/>
        <w:ind w:firstLine="480"/>
      </w:pPr>
    </w:p>
    <w:p>
      <w:pPr>
        <w:pStyle w:val="26"/>
        <w:ind w:firstLine="480"/>
      </w:pPr>
    </w:p>
    <w:p>
      <w:pPr>
        <w:numPr>
          <w:ilvl w:val="3"/>
          <w:numId w:val="48"/>
        </w:numPr>
        <w:spacing w:line="360" w:lineRule="auto"/>
        <w:jc w:val="center"/>
        <w:rPr>
          <w:rFonts w:ascii="宋体" w:hAnsi="宋体"/>
          <w:b/>
          <w:bCs/>
          <w:sz w:val="32"/>
          <w:szCs w:val="32"/>
        </w:rPr>
      </w:pPr>
      <w:bookmarkStart w:id="42" w:name="_GoBack"/>
      <w:bookmarkEnd w:id="42"/>
      <w:r>
        <w:rPr>
          <w:rFonts w:hint="eastAsia" w:ascii="宋体" w:hAnsi="宋体"/>
          <w:b/>
          <w:bCs/>
          <w:sz w:val="32"/>
          <w:szCs w:val="32"/>
        </w:rPr>
        <w:t>残疾人福利性单位声明函</w:t>
      </w:r>
    </w:p>
    <w:p>
      <w:pPr>
        <w:spacing w:line="588" w:lineRule="exact"/>
        <w:rPr>
          <w:rFonts w:ascii="宋体" w:hAnsi="宋体"/>
          <w:b/>
          <w:szCs w:val="21"/>
        </w:rPr>
      </w:pPr>
    </w:p>
    <w:p>
      <w:pPr>
        <w:spacing w:line="588" w:lineRule="exact"/>
        <w:ind w:firstLine="480" w:firstLineChars="200"/>
        <w:rPr>
          <w:rFonts w:ascii="宋体" w:hAnsi="宋体"/>
          <w:szCs w:val="21"/>
        </w:rPr>
      </w:pPr>
      <w:r>
        <w:rPr>
          <w:rFonts w:hint="eastAsia" w:ascii="宋体" w:hAnsi="宋体"/>
          <w:szCs w:val="21"/>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spacing w:line="588" w:lineRule="exact"/>
        <w:ind w:firstLine="480" w:firstLineChars="200"/>
        <w:rPr>
          <w:rFonts w:ascii="宋体" w:hAnsi="宋体"/>
          <w:szCs w:val="21"/>
        </w:rPr>
      </w:pPr>
      <w:r>
        <w:rPr>
          <w:rFonts w:hint="eastAsia" w:ascii="宋体" w:hAnsi="宋体"/>
          <w:szCs w:val="21"/>
        </w:rPr>
        <w:t>本单位对上述声明的真实性负责。如有虚假，将依法承担相应责任。</w:t>
      </w:r>
    </w:p>
    <w:p>
      <w:pPr>
        <w:spacing w:line="588" w:lineRule="exact"/>
        <w:ind w:firstLine="480" w:firstLineChars="200"/>
        <w:rPr>
          <w:rFonts w:ascii="宋体" w:hAnsi="宋体"/>
          <w:szCs w:val="21"/>
        </w:rPr>
      </w:pPr>
    </w:p>
    <w:p>
      <w:pPr>
        <w:spacing w:line="588" w:lineRule="exact"/>
        <w:ind w:firstLine="480" w:firstLineChars="200"/>
        <w:rPr>
          <w:rFonts w:ascii="宋体" w:hAnsi="宋体"/>
          <w:szCs w:val="21"/>
        </w:rPr>
      </w:pPr>
    </w:p>
    <w:p>
      <w:pPr>
        <w:tabs>
          <w:tab w:val="left" w:pos="4860"/>
        </w:tabs>
        <w:spacing w:line="588" w:lineRule="exact"/>
        <w:ind w:right="1560" w:firstLine="480" w:firstLineChars="200"/>
        <w:jc w:val="center"/>
        <w:rPr>
          <w:rFonts w:ascii="宋体" w:hAnsi="宋体"/>
          <w:szCs w:val="21"/>
        </w:rPr>
      </w:pPr>
      <w:r>
        <w:rPr>
          <w:rFonts w:hint="eastAsia" w:ascii="宋体" w:hAnsi="宋体"/>
          <w:szCs w:val="21"/>
        </w:rPr>
        <w:t xml:space="preserve">               单位名称（盖章）：</w:t>
      </w:r>
    </w:p>
    <w:p>
      <w:pPr>
        <w:tabs>
          <w:tab w:val="left" w:pos="4860"/>
        </w:tabs>
        <w:spacing w:line="588" w:lineRule="exact"/>
        <w:ind w:right="1560" w:firstLine="480" w:firstLineChars="200"/>
        <w:jc w:val="center"/>
        <w:rPr>
          <w:rFonts w:ascii="宋体" w:hAnsi="宋体"/>
          <w:szCs w:val="21"/>
        </w:rPr>
      </w:pPr>
      <w:r>
        <w:rPr>
          <w:rFonts w:hint="eastAsia" w:ascii="宋体" w:hAnsi="宋体"/>
          <w:szCs w:val="21"/>
        </w:rPr>
        <w:t xml:space="preserve">       日  期：</w:t>
      </w:r>
    </w:p>
    <w:p>
      <w:pPr>
        <w:spacing w:line="360" w:lineRule="auto"/>
        <w:rPr>
          <w:rFonts w:ascii="宋体" w:hAnsi="宋体"/>
          <w:b/>
        </w:rPr>
      </w:pPr>
      <w:r>
        <w:rPr>
          <w:rFonts w:hint="eastAsia" w:ascii="宋体" w:hAnsi="宋体"/>
          <w:b/>
          <w:szCs w:val="21"/>
        </w:rPr>
        <w:t>说明：非残疾人福利性单位无需填写、递交该声明。</w:t>
      </w:r>
    </w:p>
    <w:p>
      <w:pPr>
        <w:widowControl/>
        <w:spacing w:line="580" w:lineRule="atLeast"/>
        <w:rPr>
          <w:rFonts w:ascii="宋体" w:hAnsi="宋体"/>
        </w:rPr>
      </w:pPr>
    </w:p>
    <w:p>
      <w:pPr>
        <w:spacing w:line="600" w:lineRule="exact"/>
        <w:ind w:firstLine="420" w:firstLineChars="175"/>
        <w:rPr>
          <w:rFonts w:ascii="宋体" w:hAnsi="宋体"/>
        </w:rPr>
      </w:pPr>
    </w:p>
    <w:p>
      <w:pPr>
        <w:widowControl/>
        <w:spacing w:line="580" w:lineRule="atLeast"/>
        <w:rPr>
          <w:rFonts w:ascii="宋体" w:hAnsi="宋体"/>
        </w:rPr>
      </w:pPr>
    </w:p>
    <w:p>
      <w:pPr>
        <w:widowControl/>
        <w:spacing w:line="580" w:lineRule="atLeast"/>
        <w:rPr>
          <w:rFonts w:ascii="宋体" w:hAnsi="宋体"/>
        </w:rPr>
      </w:pPr>
    </w:p>
    <w:p>
      <w:pPr>
        <w:widowControl/>
        <w:spacing w:line="580" w:lineRule="atLeast"/>
        <w:rPr>
          <w:rFonts w:ascii="宋体" w:hAnsi="宋体"/>
        </w:rPr>
      </w:pPr>
    </w:p>
    <w:p>
      <w:pPr>
        <w:widowControl/>
        <w:spacing w:line="580" w:lineRule="atLeast"/>
        <w:rPr>
          <w:rFonts w:ascii="宋体" w:hAnsi="宋体"/>
        </w:rPr>
      </w:pPr>
    </w:p>
    <w:p>
      <w:pPr>
        <w:widowControl/>
        <w:spacing w:line="580" w:lineRule="atLeast"/>
        <w:rPr>
          <w:rFonts w:ascii="宋体" w:hAnsi="宋体"/>
        </w:rPr>
      </w:pPr>
    </w:p>
    <w:p>
      <w:pPr>
        <w:widowControl/>
        <w:spacing w:line="580" w:lineRule="atLeast"/>
        <w:rPr>
          <w:rFonts w:ascii="宋体" w:hAnsi="宋体"/>
        </w:rPr>
      </w:pPr>
    </w:p>
    <w:p>
      <w:pPr>
        <w:widowControl/>
        <w:spacing w:line="580" w:lineRule="atLeast"/>
        <w:rPr>
          <w:rFonts w:ascii="宋体" w:hAnsi="宋体"/>
        </w:rPr>
      </w:pPr>
    </w:p>
    <w:p>
      <w:pPr>
        <w:widowControl/>
        <w:spacing w:line="580" w:lineRule="atLeast"/>
        <w:rPr>
          <w:rFonts w:ascii="宋体" w:hAnsi="宋体"/>
        </w:rPr>
      </w:pPr>
    </w:p>
    <w:p>
      <w:pPr>
        <w:numPr>
          <w:ilvl w:val="3"/>
          <w:numId w:val="48"/>
        </w:numPr>
        <w:spacing w:line="360" w:lineRule="auto"/>
        <w:jc w:val="center"/>
        <w:rPr>
          <w:rFonts w:ascii="宋体" w:hAnsi="宋体"/>
          <w:b/>
          <w:bCs/>
          <w:sz w:val="32"/>
          <w:szCs w:val="32"/>
        </w:rPr>
      </w:pPr>
      <w:r>
        <w:rPr>
          <w:rFonts w:hint="eastAsia" w:ascii="宋体" w:hAnsi="宋体"/>
          <w:b/>
          <w:bCs/>
          <w:sz w:val="32"/>
          <w:szCs w:val="32"/>
        </w:rPr>
        <w:t>招标文件要求的以及供应商认为应该提供的其他材料。</w:t>
      </w:r>
    </w:p>
    <w:p>
      <w:pPr>
        <w:spacing w:line="588" w:lineRule="exact"/>
        <w:rPr>
          <w:rFonts w:ascii="宋体" w:hAnsi="宋体"/>
          <w:sz w:val="32"/>
          <w:szCs w:val="32"/>
        </w:rPr>
      </w:pPr>
    </w:p>
    <w:p>
      <w:pPr>
        <w:spacing w:line="588" w:lineRule="exact"/>
        <w:rPr>
          <w:rFonts w:ascii="宋体" w:hAnsi="宋体"/>
          <w:sz w:val="32"/>
          <w:szCs w:val="32"/>
        </w:rPr>
      </w:pPr>
    </w:p>
    <w:p>
      <w:pPr>
        <w:spacing w:line="588" w:lineRule="exact"/>
        <w:rPr>
          <w:rFonts w:ascii="宋体" w:hAnsi="宋体"/>
          <w:sz w:val="32"/>
          <w:szCs w:val="32"/>
        </w:rPr>
      </w:pPr>
    </w:p>
    <w:p>
      <w:pPr>
        <w:spacing w:line="588" w:lineRule="exact"/>
        <w:rPr>
          <w:rFonts w:ascii="宋体" w:hAnsi="宋体"/>
          <w:sz w:val="32"/>
          <w:szCs w:val="32"/>
        </w:rPr>
      </w:pPr>
    </w:p>
    <w:p>
      <w:pPr>
        <w:spacing w:line="588" w:lineRule="exact"/>
        <w:rPr>
          <w:rFonts w:ascii="宋体" w:hAnsi="宋体"/>
          <w:sz w:val="32"/>
          <w:szCs w:val="32"/>
        </w:rPr>
      </w:pPr>
    </w:p>
    <w:p>
      <w:pPr>
        <w:spacing w:line="588" w:lineRule="exact"/>
        <w:rPr>
          <w:rFonts w:ascii="宋体" w:hAnsi="宋体"/>
          <w:sz w:val="32"/>
          <w:szCs w:val="32"/>
        </w:rPr>
      </w:pPr>
    </w:p>
    <w:p>
      <w:pPr>
        <w:spacing w:line="588" w:lineRule="exact"/>
        <w:rPr>
          <w:rFonts w:ascii="宋体" w:hAnsi="宋体"/>
          <w:sz w:val="32"/>
          <w:szCs w:val="32"/>
        </w:rPr>
      </w:pPr>
    </w:p>
    <w:p>
      <w:pPr>
        <w:spacing w:line="588" w:lineRule="exact"/>
        <w:rPr>
          <w:rFonts w:ascii="宋体" w:hAnsi="宋体"/>
          <w:sz w:val="32"/>
          <w:szCs w:val="32"/>
        </w:rPr>
      </w:pPr>
    </w:p>
    <w:p>
      <w:pPr>
        <w:spacing w:line="588" w:lineRule="exact"/>
        <w:rPr>
          <w:rFonts w:ascii="宋体" w:hAnsi="宋体"/>
          <w:sz w:val="32"/>
          <w:szCs w:val="32"/>
        </w:rPr>
      </w:pPr>
    </w:p>
    <w:p>
      <w:pPr>
        <w:spacing w:line="588" w:lineRule="exact"/>
        <w:rPr>
          <w:rFonts w:ascii="宋体" w:hAnsi="宋体"/>
          <w:sz w:val="32"/>
          <w:szCs w:val="32"/>
        </w:rPr>
      </w:pPr>
    </w:p>
    <w:p>
      <w:pPr>
        <w:spacing w:line="588" w:lineRule="exact"/>
        <w:rPr>
          <w:rFonts w:ascii="宋体" w:hAnsi="宋体"/>
          <w:sz w:val="32"/>
          <w:szCs w:val="32"/>
        </w:rPr>
      </w:pPr>
    </w:p>
    <w:p>
      <w:pPr>
        <w:pStyle w:val="26"/>
        <w:ind w:firstLine="480"/>
        <w:rPr>
          <w:rFonts w:cs="宋体"/>
        </w:rPr>
      </w:pPr>
    </w:p>
    <w:p>
      <w:pPr>
        <w:pStyle w:val="26"/>
        <w:ind w:firstLine="480"/>
        <w:rPr>
          <w:rFonts w:cs="宋体"/>
        </w:rPr>
      </w:pPr>
    </w:p>
    <w:p>
      <w:pPr>
        <w:pStyle w:val="26"/>
        <w:ind w:firstLine="480"/>
        <w:rPr>
          <w:rFonts w:cs="宋体"/>
        </w:rPr>
      </w:pPr>
    </w:p>
    <w:p>
      <w:pPr>
        <w:pStyle w:val="26"/>
        <w:ind w:firstLine="480"/>
        <w:rPr>
          <w:rFonts w:cs="宋体"/>
        </w:rPr>
      </w:pPr>
    </w:p>
    <w:p>
      <w:pPr>
        <w:pStyle w:val="26"/>
        <w:ind w:firstLine="480"/>
        <w:rPr>
          <w:rFonts w:cs="宋体"/>
        </w:rPr>
      </w:pPr>
    </w:p>
    <w:p>
      <w:pPr>
        <w:pStyle w:val="26"/>
        <w:ind w:firstLine="480"/>
        <w:rPr>
          <w:rFonts w:cs="宋体"/>
        </w:rPr>
      </w:pPr>
    </w:p>
    <w:p>
      <w:pPr>
        <w:pStyle w:val="26"/>
        <w:ind w:firstLine="480"/>
        <w:rPr>
          <w:rFonts w:cs="宋体"/>
        </w:rPr>
      </w:pPr>
    </w:p>
    <w:p>
      <w:pPr>
        <w:pStyle w:val="26"/>
        <w:ind w:firstLine="480"/>
        <w:rPr>
          <w:rFonts w:cs="宋体"/>
        </w:rPr>
      </w:pPr>
    </w:p>
    <w:p>
      <w:pPr>
        <w:pStyle w:val="26"/>
        <w:ind w:firstLine="480"/>
        <w:rPr>
          <w:rFonts w:cs="宋体"/>
        </w:rPr>
      </w:pPr>
    </w:p>
    <w:p>
      <w:pPr>
        <w:pStyle w:val="26"/>
        <w:ind w:firstLine="480"/>
        <w:rPr>
          <w:rFonts w:cs="宋体"/>
        </w:rPr>
      </w:pPr>
    </w:p>
    <w:p>
      <w:pPr>
        <w:pStyle w:val="26"/>
        <w:ind w:firstLine="480"/>
        <w:rPr>
          <w:rFonts w:cs="宋体"/>
        </w:rPr>
      </w:pPr>
    </w:p>
    <w:p>
      <w:pPr>
        <w:pStyle w:val="26"/>
        <w:ind w:firstLine="480"/>
        <w:rPr>
          <w:rFonts w:cs="宋体"/>
        </w:rPr>
      </w:pPr>
    </w:p>
    <w:p>
      <w:pPr>
        <w:pStyle w:val="26"/>
        <w:ind w:firstLine="480"/>
        <w:rPr>
          <w:rFonts w:cs="宋体"/>
        </w:rPr>
      </w:pPr>
    </w:p>
    <w:p>
      <w:pPr>
        <w:pStyle w:val="26"/>
        <w:ind w:firstLine="480"/>
        <w:rPr>
          <w:rFonts w:cs="宋体"/>
        </w:rPr>
      </w:pPr>
    </w:p>
    <w:p>
      <w:pPr>
        <w:pStyle w:val="26"/>
        <w:ind w:firstLine="480"/>
        <w:rPr>
          <w:rFonts w:cs="宋体"/>
        </w:rPr>
      </w:pPr>
    </w:p>
    <w:p>
      <w:pPr>
        <w:pStyle w:val="26"/>
        <w:ind w:firstLine="480"/>
        <w:rPr>
          <w:rFonts w:cs="宋体"/>
        </w:rPr>
      </w:pPr>
    </w:p>
    <w:p>
      <w:pPr>
        <w:pStyle w:val="26"/>
        <w:ind w:firstLine="480"/>
        <w:rPr>
          <w:rFonts w:cs="宋体"/>
        </w:rPr>
      </w:pPr>
    </w:p>
    <w:p>
      <w:pPr>
        <w:pStyle w:val="32"/>
        <w:numPr>
          <w:ilvl w:val="0"/>
          <w:numId w:val="2"/>
        </w:numPr>
        <w:spacing w:line="480" w:lineRule="exact"/>
        <w:ind w:right="-72" w:rightChars="-30"/>
        <w:rPr>
          <w:rFonts w:ascii="宋体" w:hAnsi="宋体" w:cs="宋体"/>
          <w:bCs w:val="0"/>
        </w:rPr>
      </w:pPr>
      <w:bookmarkStart w:id="38" w:name="_Toc477166595"/>
      <w:bookmarkStart w:id="39" w:name="_Toc5195"/>
      <w:bookmarkStart w:id="40" w:name="_Toc17444528"/>
      <w:r>
        <w:rPr>
          <w:rFonts w:hint="eastAsia" w:ascii="宋体" w:hAnsi="宋体" w:cs="宋体"/>
          <w:bCs w:val="0"/>
        </w:rPr>
        <w:t>评标方法</w:t>
      </w:r>
      <w:bookmarkEnd w:id="38"/>
      <w:bookmarkEnd w:id="39"/>
      <w:r>
        <w:rPr>
          <w:rFonts w:hint="eastAsia" w:ascii="宋体" w:hAnsi="宋体" w:cs="宋体"/>
          <w:bCs w:val="0"/>
        </w:rPr>
        <w:t>和评标标准</w:t>
      </w:r>
      <w:bookmarkEnd w:id="40"/>
    </w:p>
    <w:p>
      <w:pPr>
        <w:spacing w:line="588" w:lineRule="exact"/>
        <w:jc w:val="center"/>
        <w:rPr>
          <w:rFonts w:ascii="宋体" w:hAnsi="宋体"/>
          <w:spacing w:val="6"/>
          <w:sz w:val="32"/>
          <w:szCs w:val="32"/>
        </w:rPr>
      </w:pPr>
      <w:bookmarkStart w:id="41" w:name="_Toc29055"/>
      <w:r>
        <w:rPr>
          <w:rFonts w:hint="eastAsia" w:ascii="宋体" w:hAnsi="宋体"/>
          <w:spacing w:val="6"/>
          <w:sz w:val="32"/>
          <w:szCs w:val="32"/>
        </w:rPr>
        <w:t>一、评标方法</w:t>
      </w:r>
    </w:p>
    <w:p>
      <w:pPr>
        <w:numPr>
          <w:ilvl w:val="0"/>
          <w:numId w:val="51"/>
        </w:numPr>
        <w:spacing w:line="480" w:lineRule="exact"/>
        <w:ind w:firstLine="480" w:firstLineChars="200"/>
        <w:rPr>
          <w:rFonts w:ascii="宋体" w:hAnsi="宋体"/>
        </w:rPr>
      </w:pPr>
      <w:r>
        <w:rPr>
          <w:rFonts w:hint="eastAsia" w:ascii="宋体" w:hAnsi="宋体"/>
        </w:rPr>
        <w:t>评标委员会将按照招标文件的规定，只对通过资格性审查和符合性审查的投标文件进行评价和比较，投标文件的评价采用综合评分法。</w:t>
      </w:r>
    </w:p>
    <w:p>
      <w:pPr>
        <w:numPr>
          <w:ilvl w:val="0"/>
          <w:numId w:val="51"/>
        </w:numPr>
        <w:spacing w:line="480" w:lineRule="exact"/>
        <w:ind w:firstLine="480" w:firstLineChars="200"/>
        <w:rPr>
          <w:rFonts w:ascii="宋体" w:hAnsi="宋体"/>
        </w:rPr>
      </w:pPr>
      <w:r>
        <w:rPr>
          <w:rFonts w:hint="eastAsia" w:ascii="宋体" w:hAnsi="宋体"/>
        </w:rPr>
        <w:t>综合评分法，</w:t>
      </w:r>
      <w:r>
        <w:rPr>
          <w:rFonts w:hint="eastAsia" w:ascii="宋体" w:hAnsi="宋体"/>
          <w:color w:val="000000"/>
          <w:shd w:val="clear" w:color="auto" w:fill="FFFFFF"/>
        </w:rPr>
        <w:t>是指投标文件满足招标文件全部实质性要求，且按照评审因素的量化指标评审得分最高的投标人为中标候选人的评标方法。</w:t>
      </w:r>
    </w:p>
    <w:p>
      <w:pPr>
        <w:numPr>
          <w:ilvl w:val="0"/>
          <w:numId w:val="51"/>
        </w:numPr>
        <w:spacing w:line="480" w:lineRule="exact"/>
        <w:ind w:firstLine="480" w:firstLineChars="200"/>
        <w:rPr>
          <w:rFonts w:ascii="宋体" w:hAnsi="宋体"/>
        </w:rPr>
      </w:pPr>
      <w:r>
        <w:rPr>
          <w:rFonts w:hint="eastAsia" w:ascii="宋体" w:hAnsi="宋体"/>
        </w:rPr>
        <w:t>评标委员会将按照评标标准分别进行独立评审。</w:t>
      </w:r>
    </w:p>
    <w:p>
      <w:pPr>
        <w:numPr>
          <w:ilvl w:val="0"/>
          <w:numId w:val="51"/>
        </w:numPr>
        <w:spacing w:line="480" w:lineRule="exact"/>
        <w:ind w:firstLine="480" w:firstLineChars="200"/>
        <w:rPr>
          <w:rFonts w:ascii="宋体" w:hAnsi="宋体"/>
        </w:rPr>
      </w:pPr>
      <w:r>
        <w:rPr>
          <w:rFonts w:hint="eastAsia" w:ascii="宋体" w:hAnsi="宋体"/>
        </w:rPr>
        <w:t>本项目将对小型和微型企业、监狱企业和残疾人福利性单位产品的价格给予</w:t>
      </w:r>
      <w:r>
        <w:rPr>
          <w:rFonts w:hint="eastAsia" w:ascii="宋体" w:hAnsi="宋体"/>
          <w:u w:val="single"/>
        </w:rPr>
        <w:t xml:space="preserve"> 6 </w:t>
      </w:r>
      <w:r>
        <w:rPr>
          <w:rFonts w:hint="eastAsia" w:ascii="宋体" w:hAnsi="宋体"/>
        </w:rPr>
        <w:t>%的扣除，用扣除后的价格参与评审。中标价和合同签约价仍以其投标文件中的报价为准。计算公式如下：评标价=投标人报价×（100%-</w:t>
      </w:r>
      <w:r>
        <w:rPr>
          <w:rFonts w:hint="eastAsia" w:ascii="宋体" w:hAnsi="宋体"/>
          <w:u w:val="single"/>
        </w:rPr>
        <w:t xml:space="preserve"> 6 </w:t>
      </w:r>
      <w:r>
        <w:rPr>
          <w:rFonts w:hint="eastAsia" w:ascii="宋体" w:hAnsi="宋体"/>
        </w:rPr>
        <w:t>%）。</w:t>
      </w:r>
    </w:p>
    <w:p>
      <w:pPr>
        <w:spacing w:line="480" w:lineRule="exact"/>
        <w:ind w:firstLine="480" w:firstLineChars="200"/>
        <w:rPr>
          <w:rFonts w:ascii="宋体" w:hAnsi="宋体"/>
        </w:rPr>
      </w:pPr>
      <w:r>
        <w:rPr>
          <w:rFonts w:hint="eastAsia" w:ascii="宋体" w:hAnsi="宋体"/>
        </w:rPr>
        <w:t>注：1.小型和微型企业、监狱企业和残疾人福利性单位产品的认定见第四章采购需求;</w:t>
      </w:r>
    </w:p>
    <w:p>
      <w:pPr>
        <w:spacing w:line="440" w:lineRule="exact"/>
        <w:ind w:left="480" w:leftChars="200"/>
        <w:rPr>
          <w:rFonts w:ascii="宋体" w:hAnsi="宋体"/>
          <w:bCs/>
          <w:szCs w:val="21"/>
        </w:rPr>
      </w:pPr>
      <w:r>
        <w:rPr>
          <w:rFonts w:hint="eastAsia" w:ascii="宋体" w:hAnsi="宋体"/>
        </w:rPr>
        <w:t>2.</w:t>
      </w:r>
      <w:r>
        <w:rPr>
          <w:rFonts w:hint="eastAsia" w:ascii="宋体" w:hAnsi="宋体"/>
          <w:b/>
          <w:bCs/>
          <w:szCs w:val="21"/>
        </w:rPr>
        <w:t>投标人同时为小型、微型企业、监狱企业、残疾人福利性单位任两种或以上情况的，评审中只享受一次价格扣除，不重复进行价格扣除。</w:t>
      </w:r>
    </w:p>
    <w:p>
      <w:pPr>
        <w:spacing w:line="480" w:lineRule="exact"/>
        <w:ind w:firstLine="664" w:firstLineChars="200"/>
        <w:rPr>
          <w:rFonts w:ascii="宋体" w:hAnsi="宋体"/>
          <w:spacing w:val="6"/>
          <w:sz w:val="32"/>
          <w:szCs w:val="32"/>
        </w:rPr>
      </w:pPr>
      <w:r>
        <w:rPr>
          <w:rFonts w:hint="eastAsia" w:ascii="宋体" w:hAnsi="宋体"/>
          <w:spacing w:val="6"/>
          <w:sz w:val="32"/>
          <w:szCs w:val="32"/>
        </w:rPr>
        <w:t>二、评标标准</w:t>
      </w:r>
    </w:p>
    <w:tbl>
      <w:tblPr>
        <w:tblStyle w:val="36"/>
        <w:tblW w:w="9640" w:type="dxa"/>
        <w:tblInd w:w="0" w:type="dxa"/>
        <w:tblLayout w:type="fixed"/>
        <w:tblCellMar>
          <w:top w:w="0" w:type="dxa"/>
          <w:left w:w="108" w:type="dxa"/>
          <w:bottom w:w="0" w:type="dxa"/>
          <w:right w:w="108" w:type="dxa"/>
        </w:tblCellMar>
      </w:tblPr>
      <w:tblGrid>
        <w:gridCol w:w="726"/>
        <w:gridCol w:w="1077"/>
        <w:gridCol w:w="1077"/>
        <w:gridCol w:w="6760"/>
      </w:tblGrid>
      <w:tr>
        <w:tblPrEx>
          <w:tblCellMar>
            <w:top w:w="0" w:type="dxa"/>
            <w:left w:w="108" w:type="dxa"/>
            <w:bottom w:w="0" w:type="dxa"/>
            <w:right w:w="108" w:type="dxa"/>
          </w:tblCellMar>
        </w:tblPrEx>
        <w:trPr>
          <w:trHeight w:val="533" w:hRule="atLeast"/>
        </w:trPr>
        <w:tc>
          <w:tcPr>
            <w:tcW w:w="726" w:type="dxa"/>
            <w:tcBorders>
              <w:top w:val="single" w:color="auto" w:sz="4" w:space="0"/>
              <w:left w:val="single" w:color="auto" w:sz="4" w:space="0"/>
              <w:bottom w:val="single" w:color="auto" w:sz="4" w:space="0"/>
              <w:right w:val="single" w:color="auto" w:sz="4" w:space="0"/>
            </w:tcBorders>
            <w:vAlign w:val="center"/>
          </w:tcPr>
          <w:p>
            <w:pPr>
              <w:widowControl/>
              <w:spacing w:line="440" w:lineRule="exact"/>
              <w:jc w:val="center"/>
              <w:rPr>
                <w:rFonts w:ascii="宋体" w:hAnsi="宋体"/>
                <w:color w:val="000000"/>
                <w:kern w:val="0"/>
                <w:szCs w:val="21"/>
              </w:rPr>
            </w:pPr>
            <w:r>
              <w:rPr>
                <w:rFonts w:hint="eastAsia" w:ascii="宋体" w:hAnsi="宋体"/>
                <w:color w:val="000000"/>
                <w:kern w:val="0"/>
                <w:szCs w:val="21"/>
              </w:rPr>
              <w:t xml:space="preserve">序号       </w:t>
            </w:r>
          </w:p>
        </w:tc>
        <w:tc>
          <w:tcPr>
            <w:tcW w:w="1077" w:type="dxa"/>
            <w:tcBorders>
              <w:top w:val="single" w:color="auto" w:sz="4" w:space="0"/>
              <w:left w:val="single" w:color="auto" w:sz="4" w:space="0"/>
              <w:bottom w:val="single" w:color="auto" w:sz="4" w:space="0"/>
              <w:right w:val="single" w:color="auto" w:sz="4" w:space="0"/>
            </w:tcBorders>
            <w:vAlign w:val="center"/>
          </w:tcPr>
          <w:p>
            <w:pPr>
              <w:widowControl/>
              <w:spacing w:line="440" w:lineRule="exact"/>
              <w:jc w:val="center"/>
              <w:rPr>
                <w:rFonts w:ascii="宋体" w:hAnsi="宋体"/>
                <w:color w:val="000000"/>
                <w:kern w:val="0"/>
                <w:szCs w:val="21"/>
              </w:rPr>
            </w:pPr>
            <w:r>
              <w:rPr>
                <w:rFonts w:hint="eastAsia" w:ascii="宋体" w:hAnsi="宋体"/>
                <w:color w:val="000000"/>
                <w:kern w:val="0"/>
                <w:szCs w:val="21"/>
              </w:rPr>
              <w:t>评分标准</w:t>
            </w:r>
          </w:p>
        </w:tc>
        <w:tc>
          <w:tcPr>
            <w:tcW w:w="1077" w:type="dxa"/>
            <w:tcBorders>
              <w:top w:val="single" w:color="auto" w:sz="4" w:space="0"/>
              <w:left w:val="single" w:color="auto" w:sz="4" w:space="0"/>
              <w:bottom w:val="single" w:color="auto" w:sz="4" w:space="0"/>
              <w:right w:val="single" w:color="auto" w:sz="4" w:space="0"/>
            </w:tcBorders>
            <w:vAlign w:val="center"/>
          </w:tcPr>
          <w:p>
            <w:pPr>
              <w:widowControl/>
              <w:spacing w:line="440" w:lineRule="exact"/>
              <w:jc w:val="center"/>
              <w:rPr>
                <w:rFonts w:ascii="宋体" w:hAnsi="宋体"/>
                <w:color w:val="000000"/>
                <w:kern w:val="0"/>
                <w:szCs w:val="21"/>
              </w:rPr>
            </w:pPr>
            <w:r>
              <w:rPr>
                <w:rFonts w:hint="eastAsia" w:ascii="宋体" w:hAnsi="宋体"/>
                <w:color w:val="000000"/>
                <w:kern w:val="0"/>
                <w:szCs w:val="21"/>
              </w:rPr>
              <w:t>评分项</w:t>
            </w:r>
          </w:p>
        </w:tc>
        <w:tc>
          <w:tcPr>
            <w:tcW w:w="6760" w:type="dxa"/>
            <w:tcBorders>
              <w:top w:val="single" w:color="auto" w:sz="4" w:space="0"/>
              <w:left w:val="single" w:color="auto" w:sz="4" w:space="0"/>
              <w:bottom w:val="single" w:color="auto" w:sz="4" w:space="0"/>
              <w:right w:val="single" w:color="auto" w:sz="4" w:space="0"/>
            </w:tcBorders>
            <w:vAlign w:val="center"/>
          </w:tcPr>
          <w:p>
            <w:pPr>
              <w:widowControl/>
              <w:spacing w:line="440" w:lineRule="exact"/>
              <w:jc w:val="center"/>
              <w:rPr>
                <w:rFonts w:ascii="宋体" w:hAnsi="宋体"/>
                <w:color w:val="000000"/>
                <w:kern w:val="0"/>
                <w:szCs w:val="21"/>
              </w:rPr>
            </w:pPr>
            <w:r>
              <w:rPr>
                <w:rFonts w:hint="eastAsia" w:ascii="宋体" w:hAnsi="宋体"/>
                <w:color w:val="000000"/>
                <w:kern w:val="0"/>
                <w:szCs w:val="21"/>
              </w:rPr>
              <w:t>评分标准</w:t>
            </w:r>
          </w:p>
        </w:tc>
      </w:tr>
      <w:tr>
        <w:tblPrEx>
          <w:tblCellMar>
            <w:top w:w="0" w:type="dxa"/>
            <w:left w:w="108" w:type="dxa"/>
            <w:bottom w:w="0" w:type="dxa"/>
            <w:right w:w="108" w:type="dxa"/>
          </w:tblCellMar>
        </w:tblPrEx>
        <w:trPr>
          <w:trHeight w:val="1020" w:hRule="atLeast"/>
        </w:trPr>
        <w:tc>
          <w:tcPr>
            <w:tcW w:w="726" w:type="dxa"/>
            <w:tcBorders>
              <w:top w:val="nil"/>
              <w:left w:val="single" w:color="auto" w:sz="4" w:space="0"/>
              <w:bottom w:val="single" w:color="auto" w:sz="4" w:space="0"/>
              <w:right w:val="single" w:color="auto" w:sz="4" w:space="0"/>
            </w:tcBorders>
            <w:vAlign w:val="center"/>
          </w:tcPr>
          <w:p>
            <w:pPr>
              <w:widowControl/>
              <w:spacing w:line="440" w:lineRule="exact"/>
              <w:jc w:val="center"/>
              <w:rPr>
                <w:rFonts w:ascii="宋体" w:hAnsi="宋体"/>
                <w:color w:val="000000"/>
                <w:kern w:val="0"/>
                <w:szCs w:val="21"/>
              </w:rPr>
            </w:pPr>
            <w:r>
              <w:rPr>
                <w:rFonts w:hint="eastAsia" w:ascii="宋体" w:hAnsi="宋体"/>
                <w:color w:val="000000"/>
                <w:kern w:val="0"/>
                <w:szCs w:val="21"/>
              </w:rPr>
              <w:t>1</w:t>
            </w:r>
          </w:p>
        </w:tc>
        <w:tc>
          <w:tcPr>
            <w:tcW w:w="1077" w:type="dxa"/>
            <w:tcBorders>
              <w:top w:val="nil"/>
              <w:left w:val="nil"/>
              <w:bottom w:val="single" w:color="auto" w:sz="4" w:space="0"/>
              <w:right w:val="single" w:color="auto" w:sz="4" w:space="0"/>
            </w:tcBorders>
            <w:vAlign w:val="center"/>
          </w:tcPr>
          <w:p>
            <w:pPr>
              <w:widowControl/>
              <w:spacing w:line="440" w:lineRule="exact"/>
              <w:jc w:val="center"/>
              <w:rPr>
                <w:rFonts w:ascii="宋体" w:hAnsi="宋体"/>
                <w:color w:val="000000"/>
                <w:kern w:val="0"/>
                <w:szCs w:val="21"/>
              </w:rPr>
            </w:pPr>
            <w:r>
              <w:rPr>
                <w:rFonts w:hint="eastAsia" w:ascii="宋体" w:hAnsi="宋体"/>
                <w:color w:val="000000"/>
                <w:kern w:val="0"/>
                <w:szCs w:val="21"/>
              </w:rPr>
              <w:t>投标报价（35分）</w:t>
            </w:r>
          </w:p>
        </w:tc>
        <w:tc>
          <w:tcPr>
            <w:tcW w:w="1077" w:type="dxa"/>
            <w:tcBorders>
              <w:top w:val="nil"/>
              <w:left w:val="nil"/>
              <w:bottom w:val="single" w:color="auto" w:sz="4" w:space="0"/>
              <w:right w:val="single" w:color="auto" w:sz="4" w:space="0"/>
            </w:tcBorders>
            <w:vAlign w:val="center"/>
          </w:tcPr>
          <w:p>
            <w:pPr>
              <w:widowControl/>
              <w:spacing w:line="440" w:lineRule="exact"/>
              <w:jc w:val="center"/>
              <w:rPr>
                <w:rFonts w:ascii="宋体" w:hAnsi="宋体"/>
              </w:rPr>
            </w:pPr>
            <w:r>
              <w:rPr>
                <w:rFonts w:hint="eastAsia" w:ascii="宋体" w:hAnsi="宋体"/>
              </w:rPr>
              <w:t>投标报价</w:t>
            </w:r>
          </w:p>
          <w:p>
            <w:pPr>
              <w:pStyle w:val="19"/>
              <w:ind w:firstLine="210" w:firstLineChars="100"/>
            </w:pPr>
            <w:r>
              <w:rPr>
                <w:rFonts w:hint="eastAsia"/>
                <w:sz w:val="21"/>
                <w:szCs w:val="21"/>
              </w:rPr>
              <w:t>35分</w:t>
            </w:r>
          </w:p>
        </w:tc>
        <w:tc>
          <w:tcPr>
            <w:tcW w:w="6760" w:type="dxa"/>
            <w:tcBorders>
              <w:top w:val="nil"/>
              <w:left w:val="nil"/>
              <w:bottom w:val="single" w:color="auto" w:sz="4" w:space="0"/>
              <w:right w:val="single" w:color="auto" w:sz="4" w:space="0"/>
            </w:tcBorders>
            <w:vAlign w:val="center"/>
          </w:tcPr>
          <w:p>
            <w:pPr>
              <w:widowControl/>
              <w:rPr>
                <w:rFonts w:ascii="宋体" w:hAnsi="宋体"/>
                <w:szCs w:val="21"/>
              </w:rPr>
            </w:pPr>
            <w:r>
              <w:rPr>
                <w:rFonts w:hint="eastAsia" w:ascii="宋体" w:hAnsi="宋体"/>
                <w:szCs w:val="21"/>
              </w:rPr>
              <w:t>满足招标文件要求且价格最低的报价（含小型和微型企业、监狱企业和残疾人福利性单位评标价）为评标基准价，其价格分为满分（即35分）。其他投标人的价格分统一按照下列公式计算：</w:t>
            </w:r>
          </w:p>
          <w:p>
            <w:pPr>
              <w:widowControl/>
              <w:rPr>
                <w:rFonts w:ascii="宋体" w:hAnsi="宋体"/>
                <w:color w:val="000000"/>
                <w:kern w:val="0"/>
                <w:szCs w:val="21"/>
              </w:rPr>
            </w:pPr>
            <w:r>
              <w:rPr>
                <w:rFonts w:hint="eastAsia" w:ascii="宋体" w:hAnsi="宋体"/>
                <w:szCs w:val="21"/>
              </w:rPr>
              <w:t>报价得分=(评标基准价／报价) ×价格权值（35分）。</w:t>
            </w:r>
          </w:p>
        </w:tc>
      </w:tr>
      <w:tr>
        <w:tblPrEx>
          <w:tblCellMar>
            <w:top w:w="0" w:type="dxa"/>
            <w:left w:w="108" w:type="dxa"/>
            <w:bottom w:w="0" w:type="dxa"/>
            <w:right w:w="108" w:type="dxa"/>
          </w:tblCellMar>
        </w:tblPrEx>
        <w:trPr>
          <w:trHeight w:val="817" w:hRule="atLeast"/>
        </w:trPr>
        <w:tc>
          <w:tcPr>
            <w:tcW w:w="726" w:type="dxa"/>
            <w:vMerge w:val="restart"/>
            <w:tcBorders>
              <w:top w:val="single" w:color="auto" w:sz="4" w:space="0"/>
              <w:left w:val="single" w:color="auto" w:sz="4" w:space="0"/>
              <w:right w:val="single" w:color="auto" w:sz="4" w:space="0"/>
            </w:tcBorders>
            <w:vAlign w:val="center"/>
          </w:tcPr>
          <w:p>
            <w:pPr>
              <w:widowControl/>
              <w:spacing w:line="440" w:lineRule="exact"/>
              <w:jc w:val="center"/>
              <w:rPr>
                <w:rFonts w:ascii="宋体" w:hAnsi="宋体"/>
                <w:color w:val="000000"/>
                <w:kern w:val="0"/>
                <w:szCs w:val="21"/>
              </w:rPr>
            </w:pPr>
            <w:r>
              <w:rPr>
                <w:rFonts w:hint="eastAsia" w:ascii="宋体" w:hAnsi="宋体"/>
                <w:color w:val="000000"/>
                <w:kern w:val="0"/>
                <w:szCs w:val="21"/>
              </w:rPr>
              <w:t>2</w:t>
            </w:r>
          </w:p>
        </w:tc>
        <w:tc>
          <w:tcPr>
            <w:tcW w:w="1077" w:type="dxa"/>
            <w:vMerge w:val="restart"/>
            <w:tcBorders>
              <w:top w:val="single" w:color="auto" w:sz="4" w:space="0"/>
              <w:left w:val="single" w:color="auto" w:sz="4" w:space="0"/>
              <w:right w:val="single" w:color="auto" w:sz="4" w:space="0"/>
            </w:tcBorders>
            <w:vAlign w:val="center"/>
          </w:tcPr>
          <w:p>
            <w:pPr>
              <w:widowControl/>
              <w:spacing w:line="440" w:lineRule="exact"/>
              <w:jc w:val="center"/>
              <w:rPr>
                <w:rFonts w:ascii="宋体" w:hAnsi="宋体"/>
                <w:kern w:val="0"/>
                <w:szCs w:val="21"/>
              </w:rPr>
            </w:pPr>
            <w:r>
              <w:rPr>
                <w:rFonts w:hint="eastAsia" w:ascii="宋体" w:hAnsi="宋体"/>
                <w:kern w:val="0"/>
                <w:szCs w:val="21"/>
              </w:rPr>
              <w:t>技术部分评分标准（43分）</w:t>
            </w:r>
          </w:p>
        </w:tc>
        <w:tc>
          <w:tcPr>
            <w:tcW w:w="107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rPr>
            </w:pPr>
            <w:r>
              <w:rPr>
                <w:rFonts w:hint="eastAsia" w:asciiTheme="minorEastAsia" w:hAnsiTheme="minorEastAsia" w:cstheme="minorEastAsia"/>
                <w:color w:val="000000"/>
              </w:rPr>
              <w:t>技术指标响应(18分）</w:t>
            </w:r>
          </w:p>
        </w:tc>
        <w:tc>
          <w:tcPr>
            <w:tcW w:w="6760" w:type="dxa"/>
            <w:tcBorders>
              <w:top w:val="single" w:color="auto" w:sz="4" w:space="0"/>
              <w:left w:val="nil"/>
              <w:bottom w:val="single" w:color="auto" w:sz="4" w:space="0"/>
              <w:right w:val="single" w:color="auto" w:sz="4" w:space="0"/>
            </w:tcBorders>
          </w:tcPr>
          <w:p>
            <w:pPr>
              <w:rPr>
                <w:rFonts w:ascii="宋体" w:hAnsi="宋体"/>
                <w:color w:val="000000"/>
                <w:kern w:val="0"/>
                <w:szCs w:val="21"/>
              </w:rPr>
            </w:pPr>
            <w:r>
              <w:rPr>
                <w:rFonts w:hint="eastAsia" w:asciiTheme="minorEastAsia" w:hAnsiTheme="minorEastAsia" w:cstheme="minorEastAsia"/>
                <w:color w:val="000000"/>
              </w:rPr>
              <w:t>投标人所投核心产品的投标参数优于招标文件采购清单中加“*”项技术指标的每一项得1.5分，满18分。</w:t>
            </w:r>
          </w:p>
        </w:tc>
      </w:tr>
      <w:tr>
        <w:tblPrEx>
          <w:tblCellMar>
            <w:top w:w="0" w:type="dxa"/>
            <w:left w:w="108" w:type="dxa"/>
            <w:bottom w:w="0" w:type="dxa"/>
            <w:right w:w="108" w:type="dxa"/>
          </w:tblCellMar>
        </w:tblPrEx>
        <w:trPr>
          <w:trHeight w:val="1162" w:hRule="atLeast"/>
        </w:trPr>
        <w:tc>
          <w:tcPr>
            <w:tcW w:w="726" w:type="dxa"/>
            <w:vMerge w:val="continue"/>
            <w:tcBorders>
              <w:left w:val="single" w:color="auto" w:sz="4" w:space="0"/>
              <w:right w:val="single" w:color="auto" w:sz="4" w:space="0"/>
            </w:tcBorders>
            <w:vAlign w:val="center"/>
          </w:tcPr>
          <w:p>
            <w:pPr>
              <w:widowControl/>
              <w:spacing w:line="440" w:lineRule="exact"/>
              <w:jc w:val="center"/>
              <w:rPr>
                <w:rFonts w:ascii="宋体" w:hAnsi="宋体"/>
                <w:color w:val="000000"/>
                <w:kern w:val="0"/>
                <w:szCs w:val="21"/>
              </w:rPr>
            </w:pPr>
          </w:p>
        </w:tc>
        <w:tc>
          <w:tcPr>
            <w:tcW w:w="1077" w:type="dxa"/>
            <w:vMerge w:val="continue"/>
            <w:tcBorders>
              <w:left w:val="single" w:color="auto" w:sz="4" w:space="0"/>
              <w:right w:val="single" w:color="auto" w:sz="4" w:space="0"/>
            </w:tcBorders>
            <w:vAlign w:val="center"/>
          </w:tcPr>
          <w:p>
            <w:pPr>
              <w:widowControl/>
              <w:spacing w:line="440" w:lineRule="exact"/>
              <w:jc w:val="center"/>
              <w:rPr>
                <w:rFonts w:ascii="宋体" w:hAnsi="宋体"/>
                <w:kern w:val="0"/>
                <w:szCs w:val="21"/>
              </w:rPr>
            </w:pPr>
          </w:p>
        </w:tc>
        <w:tc>
          <w:tcPr>
            <w:tcW w:w="107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hint="eastAsia" w:asciiTheme="minorEastAsia" w:hAnsiTheme="minorEastAsia" w:cstheme="minorEastAsia"/>
                <w:color w:val="000000"/>
              </w:rPr>
              <w:t>项目实施方案（10分）</w:t>
            </w:r>
          </w:p>
        </w:tc>
        <w:tc>
          <w:tcPr>
            <w:tcW w:w="6760" w:type="dxa"/>
            <w:tcBorders>
              <w:top w:val="single" w:color="auto" w:sz="4" w:space="0"/>
              <w:left w:val="nil"/>
              <w:bottom w:val="single" w:color="auto" w:sz="4" w:space="0"/>
              <w:right w:val="single" w:color="auto" w:sz="4" w:space="0"/>
            </w:tcBorders>
            <w:vAlign w:val="center"/>
          </w:tcPr>
          <w:p>
            <w:pPr>
              <w:spacing w:line="360" w:lineRule="auto"/>
              <w:rPr>
                <w:rFonts w:asciiTheme="minorEastAsia" w:hAnsiTheme="minorEastAsia" w:cstheme="minorEastAsia"/>
                <w:color w:val="000000"/>
              </w:rPr>
            </w:pPr>
            <w:r>
              <w:rPr>
                <w:rFonts w:hint="eastAsia" w:asciiTheme="minorEastAsia" w:hAnsiTheme="minorEastAsia" w:cstheme="minorEastAsia"/>
                <w:color w:val="000000"/>
              </w:rPr>
              <w:t>1.根据投标供应商提供的实施方案的完整性和合理性，风险、质量和进度控制，跟踪响应，组织协调，安全监督等由评委分三档，一档5分，二档3分，三档1分；缺项者0分。</w:t>
            </w:r>
          </w:p>
          <w:p>
            <w:pPr>
              <w:rPr>
                <w:rFonts w:ascii="宋体" w:hAnsi="宋体"/>
                <w:color w:val="000000"/>
                <w:kern w:val="0"/>
                <w:szCs w:val="21"/>
              </w:rPr>
            </w:pPr>
            <w:r>
              <w:rPr>
                <w:rFonts w:hint="eastAsia" w:asciiTheme="minorEastAsia" w:hAnsiTheme="minorEastAsia" w:cstheme="minorEastAsia"/>
                <w:color w:val="000000"/>
              </w:rPr>
              <w:t>2.根据投标人提供本项目的关于交货期总体要求、实施阶段人员配备合理性、制定满足现场需要的进度计划表由评委分三档，</w:t>
            </w:r>
            <w:r>
              <w:rPr>
                <w:rFonts w:hint="eastAsia" w:asciiTheme="minorEastAsia" w:hAnsiTheme="minorEastAsia" w:cstheme="minorEastAsia"/>
              </w:rPr>
              <w:t>一档5分，二档3分，三档1分；缺项者0分。</w:t>
            </w:r>
          </w:p>
        </w:tc>
      </w:tr>
      <w:tr>
        <w:tblPrEx>
          <w:tblCellMar>
            <w:top w:w="0" w:type="dxa"/>
            <w:left w:w="108" w:type="dxa"/>
            <w:bottom w:w="0" w:type="dxa"/>
            <w:right w:w="108" w:type="dxa"/>
          </w:tblCellMar>
        </w:tblPrEx>
        <w:trPr>
          <w:trHeight w:val="1162" w:hRule="atLeast"/>
        </w:trPr>
        <w:tc>
          <w:tcPr>
            <w:tcW w:w="726" w:type="dxa"/>
            <w:tcBorders>
              <w:left w:val="single" w:color="auto" w:sz="4" w:space="0"/>
              <w:right w:val="single" w:color="auto" w:sz="4" w:space="0"/>
            </w:tcBorders>
            <w:vAlign w:val="center"/>
          </w:tcPr>
          <w:p>
            <w:pPr>
              <w:widowControl/>
              <w:spacing w:line="440" w:lineRule="exact"/>
              <w:jc w:val="center"/>
              <w:rPr>
                <w:rFonts w:ascii="宋体" w:hAnsi="宋体"/>
                <w:color w:val="000000"/>
                <w:kern w:val="0"/>
                <w:szCs w:val="21"/>
              </w:rPr>
            </w:pPr>
          </w:p>
        </w:tc>
        <w:tc>
          <w:tcPr>
            <w:tcW w:w="1077" w:type="dxa"/>
            <w:tcBorders>
              <w:left w:val="single" w:color="auto" w:sz="4" w:space="0"/>
              <w:right w:val="single" w:color="auto" w:sz="4" w:space="0"/>
            </w:tcBorders>
            <w:vAlign w:val="center"/>
          </w:tcPr>
          <w:p>
            <w:pPr>
              <w:widowControl/>
              <w:spacing w:line="440" w:lineRule="exact"/>
              <w:jc w:val="center"/>
              <w:rPr>
                <w:rFonts w:ascii="宋体" w:hAnsi="宋体"/>
                <w:kern w:val="0"/>
                <w:szCs w:val="21"/>
              </w:rPr>
            </w:pPr>
          </w:p>
        </w:tc>
        <w:tc>
          <w:tcPr>
            <w:tcW w:w="1077"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cstheme="minorEastAsia"/>
                <w:color w:val="000000"/>
              </w:rPr>
            </w:pPr>
            <w:r>
              <w:rPr>
                <w:rFonts w:hint="eastAsia" w:asciiTheme="minorEastAsia" w:hAnsiTheme="minorEastAsia" w:cstheme="minorEastAsia"/>
                <w:color w:val="000000"/>
              </w:rPr>
              <w:t>售后服务（15分）</w:t>
            </w:r>
          </w:p>
        </w:tc>
        <w:tc>
          <w:tcPr>
            <w:tcW w:w="6760" w:type="dxa"/>
            <w:tcBorders>
              <w:top w:val="single" w:color="auto" w:sz="4" w:space="0"/>
              <w:left w:val="nil"/>
              <w:bottom w:val="single" w:color="auto" w:sz="4" w:space="0"/>
              <w:right w:val="single" w:color="auto" w:sz="4" w:space="0"/>
            </w:tcBorders>
            <w:vAlign w:val="center"/>
          </w:tcPr>
          <w:p>
            <w:pPr>
              <w:spacing w:line="360" w:lineRule="auto"/>
              <w:rPr>
                <w:rFonts w:asciiTheme="minorEastAsia" w:hAnsiTheme="minorEastAsia" w:cstheme="minorEastAsia"/>
                <w:color w:val="000000"/>
              </w:rPr>
            </w:pPr>
            <w:r>
              <w:rPr>
                <w:rFonts w:hint="eastAsia" w:asciiTheme="minorEastAsia" w:hAnsiTheme="minorEastAsia" w:cstheme="minorEastAsia"/>
                <w:color w:val="000000"/>
              </w:rPr>
              <w:t>1、技术支持、售后服务程序合理，人员配备技术力量强，故障响应时间小于2小时，上门时间小于12小时，维修和更换时间小于24小时，提供售后服务计划得2分，售后服务计划较完善合理得5分，售后服务计划完善合理得10分，未提供的不得分。</w:t>
            </w:r>
          </w:p>
          <w:p>
            <w:pPr>
              <w:rPr>
                <w:rFonts w:asciiTheme="minorEastAsia" w:hAnsiTheme="minorEastAsia" w:cstheme="minorEastAsia"/>
                <w:color w:val="000000"/>
              </w:rPr>
            </w:pPr>
            <w:r>
              <w:rPr>
                <w:rFonts w:hint="eastAsia" w:asciiTheme="minorEastAsia" w:hAnsiTheme="minorEastAsia" w:cstheme="minorEastAsia"/>
                <w:color w:val="000000"/>
              </w:rPr>
              <w:t>2、具有明确的培训内容、计划合理得5分，未提供的不得分。</w:t>
            </w:r>
          </w:p>
        </w:tc>
      </w:tr>
      <w:tr>
        <w:tblPrEx>
          <w:tblCellMar>
            <w:top w:w="0" w:type="dxa"/>
            <w:left w:w="108" w:type="dxa"/>
            <w:bottom w:w="0" w:type="dxa"/>
            <w:right w:w="108" w:type="dxa"/>
          </w:tblCellMar>
        </w:tblPrEx>
        <w:trPr>
          <w:trHeight w:val="3086" w:hRule="atLeast"/>
        </w:trPr>
        <w:tc>
          <w:tcPr>
            <w:tcW w:w="726" w:type="dxa"/>
            <w:vMerge w:val="restart"/>
            <w:tcBorders>
              <w:top w:val="single" w:color="auto" w:sz="4" w:space="0"/>
              <w:left w:val="single" w:color="auto" w:sz="4" w:space="0"/>
              <w:right w:val="single" w:color="auto" w:sz="4" w:space="0"/>
            </w:tcBorders>
            <w:vAlign w:val="center"/>
          </w:tcPr>
          <w:p>
            <w:pPr>
              <w:widowControl/>
              <w:spacing w:line="440" w:lineRule="exact"/>
              <w:jc w:val="center"/>
              <w:rPr>
                <w:rFonts w:ascii="宋体" w:hAnsi="宋体"/>
                <w:color w:val="000000"/>
                <w:kern w:val="0"/>
                <w:szCs w:val="21"/>
              </w:rPr>
            </w:pPr>
            <w:r>
              <w:rPr>
                <w:rFonts w:hint="eastAsia" w:ascii="宋体" w:hAnsi="宋体"/>
                <w:color w:val="000000"/>
                <w:kern w:val="0"/>
                <w:szCs w:val="21"/>
              </w:rPr>
              <w:t>3</w:t>
            </w:r>
          </w:p>
        </w:tc>
        <w:tc>
          <w:tcPr>
            <w:tcW w:w="1077" w:type="dxa"/>
            <w:vMerge w:val="restart"/>
            <w:tcBorders>
              <w:top w:val="single" w:color="auto" w:sz="4" w:space="0"/>
              <w:left w:val="nil"/>
              <w:right w:val="single" w:color="auto" w:sz="4" w:space="0"/>
            </w:tcBorders>
            <w:vAlign w:val="center"/>
          </w:tcPr>
          <w:p>
            <w:pPr>
              <w:widowControl/>
              <w:spacing w:line="440" w:lineRule="exact"/>
              <w:rPr>
                <w:rFonts w:ascii="宋体" w:hAnsi="宋体"/>
                <w:color w:val="000000"/>
                <w:kern w:val="0"/>
                <w:szCs w:val="21"/>
              </w:rPr>
            </w:pPr>
            <w:r>
              <w:rPr>
                <w:rFonts w:hint="eastAsia" w:ascii="宋体" w:hAnsi="宋体"/>
                <w:color w:val="000000"/>
                <w:kern w:val="0"/>
                <w:szCs w:val="21"/>
              </w:rPr>
              <w:t>综合部分评分标准（22分）</w:t>
            </w:r>
          </w:p>
        </w:tc>
        <w:tc>
          <w:tcPr>
            <w:tcW w:w="1077" w:type="dxa"/>
            <w:tcBorders>
              <w:top w:val="single" w:color="auto" w:sz="4" w:space="0"/>
              <w:left w:val="single" w:color="auto" w:sz="4" w:space="0"/>
              <w:right w:val="single" w:color="auto" w:sz="4" w:space="0"/>
            </w:tcBorders>
            <w:vAlign w:val="center"/>
          </w:tcPr>
          <w:p>
            <w:pPr>
              <w:widowControl/>
              <w:spacing w:line="440" w:lineRule="exact"/>
              <w:jc w:val="center"/>
              <w:rPr>
                <w:rFonts w:ascii="宋体" w:hAnsi="宋体"/>
                <w:color w:val="000000"/>
                <w:kern w:val="0"/>
                <w:szCs w:val="21"/>
              </w:rPr>
            </w:pPr>
            <w:r>
              <w:rPr>
                <w:rFonts w:hint="eastAsia" w:ascii="宋体" w:hAnsi="宋体"/>
              </w:rPr>
              <w:t>产品厂商综合实力（12分）</w:t>
            </w:r>
          </w:p>
          <w:p>
            <w:pPr>
              <w:widowControl/>
              <w:spacing w:line="440" w:lineRule="exact"/>
              <w:jc w:val="center"/>
              <w:rPr>
                <w:rFonts w:ascii="宋体" w:hAnsi="宋体"/>
                <w:color w:val="000000"/>
                <w:kern w:val="0"/>
                <w:szCs w:val="21"/>
              </w:rPr>
            </w:pPr>
          </w:p>
          <w:p>
            <w:pPr>
              <w:spacing w:line="440" w:lineRule="exact"/>
              <w:jc w:val="center"/>
              <w:rPr>
                <w:rFonts w:ascii="宋体" w:hAnsi="宋体"/>
                <w:color w:val="000000"/>
                <w:kern w:val="0"/>
                <w:szCs w:val="21"/>
              </w:rPr>
            </w:pPr>
          </w:p>
        </w:tc>
        <w:tc>
          <w:tcPr>
            <w:tcW w:w="6760" w:type="dxa"/>
            <w:tcBorders>
              <w:top w:val="single" w:color="auto" w:sz="4" w:space="0"/>
              <w:left w:val="nil"/>
              <w:bottom w:val="single" w:color="auto" w:sz="4" w:space="0"/>
              <w:right w:val="single" w:color="auto" w:sz="4" w:space="0"/>
            </w:tcBorders>
            <w:vAlign w:val="center"/>
          </w:tcPr>
          <w:p>
            <w:pPr>
              <w:widowControl/>
              <w:spacing w:line="440" w:lineRule="exact"/>
              <w:jc w:val="left"/>
              <w:rPr>
                <w:rFonts w:ascii="宋体" w:hAnsi="宋体"/>
                <w:lang w:val="zh-CN"/>
              </w:rPr>
            </w:pPr>
            <w:r>
              <w:rPr>
                <w:rFonts w:hint="eastAsia" w:ascii="宋体" w:hAnsi="宋体"/>
              </w:rPr>
              <w:t>1、核心产品具有配置结核耐药项目结果判读软件，拥有</w:t>
            </w:r>
            <w:r>
              <w:rPr>
                <w:rFonts w:hint="eastAsia" w:ascii="宋体" w:hAnsi="宋体"/>
                <w:lang w:val="zh-CN"/>
              </w:rPr>
              <w:t>软件著作权</w:t>
            </w:r>
            <w:r>
              <w:rPr>
                <w:rFonts w:hint="eastAsia" w:ascii="宋体" w:hAnsi="宋体"/>
              </w:rPr>
              <w:t>证书者</w:t>
            </w:r>
            <w:r>
              <w:rPr>
                <w:rFonts w:hint="eastAsia" w:ascii="宋体" w:hAnsi="宋体"/>
                <w:lang w:val="zh-CN"/>
              </w:rPr>
              <w:t>，</w:t>
            </w:r>
            <w:r>
              <w:rPr>
                <w:rFonts w:hint="eastAsia" w:ascii="宋体" w:hAnsi="宋体"/>
              </w:rPr>
              <w:t>得6分</w:t>
            </w:r>
            <w:r>
              <w:rPr>
                <w:rFonts w:hint="eastAsia" w:ascii="宋体" w:hAnsi="宋体"/>
                <w:b/>
                <w:bCs/>
                <w:color w:val="000000"/>
                <w:kern w:val="0"/>
                <w:szCs w:val="21"/>
              </w:rPr>
              <w:t>（投标文件商务、技术证明文件提供复印件）</w:t>
            </w:r>
            <w:r>
              <w:rPr>
                <w:rFonts w:hint="eastAsia" w:ascii="宋体" w:hAnsi="宋体"/>
                <w:lang w:val="zh-CN"/>
              </w:rPr>
              <w:t>；</w:t>
            </w:r>
          </w:p>
          <w:p>
            <w:pPr>
              <w:widowControl/>
              <w:spacing w:line="440" w:lineRule="exact"/>
              <w:jc w:val="left"/>
              <w:rPr>
                <w:rFonts w:ascii="宋体" w:hAnsi="宋体"/>
                <w:b/>
                <w:bCs/>
                <w:color w:val="000000"/>
                <w:kern w:val="0"/>
                <w:szCs w:val="21"/>
              </w:rPr>
            </w:pPr>
            <w:r>
              <w:rPr>
                <w:rFonts w:hint="eastAsia" w:ascii="宋体" w:hAnsi="宋体"/>
              </w:rPr>
              <w:t>2、核心</w:t>
            </w:r>
            <w:r>
              <w:rPr>
                <w:rFonts w:hint="eastAsia" w:ascii="宋体" w:hAnsi="宋体"/>
                <w:lang w:val="zh-CN"/>
              </w:rPr>
              <w:t>产品生产厂家</w:t>
            </w:r>
            <w:r>
              <w:rPr>
                <w:rFonts w:hint="eastAsia" w:ascii="宋体" w:hAnsi="宋体"/>
              </w:rPr>
              <w:t>具有实用新型专利证书和发明专利证书者</w:t>
            </w:r>
            <w:r>
              <w:rPr>
                <w:rFonts w:hint="eastAsia" w:ascii="宋体" w:hAnsi="宋体"/>
                <w:lang w:val="zh-CN"/>
              </w:rPr>
              <w:t>得</w:t>
            </w:r>
            <w:r>
              <w:rPr>
                <w:rFonts w:hint="eastAsia" w:ascii="宋体" w:hAnsi="宋体"/>
              </w:rPr>
              <w:t>6</w:t>
            </w:r>
            <w:r>
              <w:rPr>
                <w:rFonts w:hint="eastAsia" w:ascii="宋体" w:hAnsi="宋体"/>
                <w:lang w:val="zh-CN"/>
              </w:rPr>
              <w:t>分</w:t>
            </w:r>
            <w:r>
              <w:rPr>
                <w:rFonts w:hint="eastAsia" w:ascii="宋体" w:hAnsi="宋体"/>
                <w:b/>
                <w:bCs/>
                <w:color w:val="000000"/>
                <w:kern w:val="0"/>
                <w:szCs w:val="21"/>
              </w:rPr>
              <w:t>（投标文件商务、技术证明文件提供复印件）</w:t>
            </w:r>
            <w:r>
              <w:rPr>
                <w:rFonts w:hint="eastAsia" w:ascii="宋体" w:hAnsi="宋体"/>
                <w:lang w:val="zh-CN"/>
              </w:rPr>
              <w:t>；</w:t>
            </w:r>
          </w:p>
        </w:tc>
      </w:tr>
      <w:tr>
        <w:tblPrEx>
          <w:tblCellMar>
            <w:top w:w="0" w:type="dxa"/>
            <w:left w:w="108" w:type="dxa"/>
            <w:bottom w:w="0" w:type="dxa"/>
            <w:right w:w="108" w:type="dxa"/>
          </w:tblCellMar>
        </w:tblPrEx>
        <w:trPr>
          <w:trHeight w:val="914" w:hRule="atLeast"/>
        </w:trPr>
        <w:tc>
          <w:tcPr>
            <w:tcW w:w="726" w:type="dxa"/>
            <w:vMerge w:val="continue"/>
            <w:tcBorders>
              <w:left w:val="single" w:color="auto" w:sz="4" w:space="0"/>
              <w:bottom w:val="single" w:color="auto" w:sz="4" w:space="0"/>
              <w:right w:val="single" w:color="auto" w:sz="4" w:space="0"/>
            </w:tcBorders>
            <w:vAlign w:val="center"/>
          </w:tcPr>
          <w:p>
            <w:pPr>
              <w:widowControl/>
              <w:spacing w:line="440" w:lineRule="exact"/>
              <w:jc w:val="center"/>
              <w:rPr>
                <w:rFonts w:ascii="宋体" w:hAnsi="宋体"/>
                <w:color w:val="000000"/>
                <w:kern w:val="0"/>
                <w:szCs w:val="21"/>
              </w:rPr>
            </w:pPr>
          </w:p>
        </w:tc>
        <w:tc>
          <w:tcPr>
            <w:tcW w:w="1077" w:type="dxa"/>
            <w:vMerge w:val="continue"/>
            <w:tcBorders>
              <w:left w:val="nil"/>
              <w:bottom w:val="single" w:color="auto" w:sz="4" w:space="0"/>
              <w:right w:val="single" w:color="auto" w:sz="4" w:space="0"/>
            </w:tcBorders>
            <w:vAlign w:val="center"/>
          </w:tcPr>
          <w:p>
            <w:pPr>
              <w:widowControl/>
              <w:spacing w:line="440" w:lineRule="exact"/>
              <w:jc w:val="center"/>
              <w:rPr>
                <w:rFonts w:ascii="宋体" w:hAnsi="宋体"/>
                <w:color w:val="000000"/>
                <w:kern w:val="0"/>
                <w:szCs w:val="21"/>
              </w:rPr>
            </w:pPr>
          </w:p>
        </w:tc>
        <w:tc>
          <w:tcPr>
            <w:tcW w:w="1077" w:type="dxa"/>
            <w:tcBorders>
              <w:top w:val="single" w:color="auto" w:sz="4" w:space="0"/>
              <w:left w:val="single" w:color="auto" w:sz="4" w:space="0"/>
              <w:bottom w:val="single" w:color="auto" w:sz="4" w:space="0"/>
              <w:right w:val="single" w:color="auto" w:sz="4" w:space="0"/>
            </w:tcBorders>
            <w:vAlign w:val="center"/>
          </w:tcPr>
          <w:p>
            <w:pPr>
              <w:widowControl/>
              <w:spacing w:line="440" w:lineRule="exact"/>
              <w:jc w:val="center"/>
              <w:rPr>
                <w:rFonts w:ascii="宋体" w:hAnsi="宋体"/>
                <w:color w:val="000000"/>
                <w:kern w:val="0"/>
                <w:szCs w:val="21"/>
              </w:rPr>
            </w:pPr>
            <w:r>
              <w:rPr>
                <w:rFonts w:hint="eastAsia" w:ascii="宋体" w:hAnsi="宋体"/>
              </w:rPr>
              <w:t>企业业绩（10分）</w:t>
            </w:r>
          </w:p>
        </w:tc>
        <w:tc>
          <w:tcPr>
            <w:tcW w:w="6760" w:type="dxa"/>
            <w:tcBorders>
              <w:top w:val="nil"/>
              <w:left w:val="nil"/>
              <w:bottom w:val="single" w:color="auto" w:sz="4" w:space="0"/>
              <w:right w:val="single" w:color="auto" w:sz="4" w:space="0"/>
            </w:tcBorders>
            <w:vAlign w:val="center"/>
          </w:tcPr>
          <w:p>
            <w:pPr>
              <w:widowControl/>
              <w:jc w:val="left"/>
              <w:rPr>
                <w:rFonts w:ascii="宋体" w:hAnsi="宋体"/>
                <w:color w:val="000000"/>
                <w:kern w:val="0"/>
                <w:szCs w:val="21"/>
              </w:rPr>
            </w:pPr>
            <w:r>
              <w:rPr>
                <w:rFonts w:hint="eastAsia" w:ascii="宋体" w:hAnsi="宋体"/>
                <w:lang w:val="zh-CN"/>
              </w:rPr>
              <w:t>投标人具有2017年1月1日以来类似项目业绩的，每提供一份得</w:t>
            </w:r>
            <w:r>
              <w:rPr>
                <w:rFonts w:hint="eastAsia" w:ascii="宋体" w:hAnsi="宋体"/>
              </w:rPr>
              <w:t>5</w:t>
            </w:r>
            <w:r>
              <w:rPr>
                <w:rFonts w:hint="eastAsia" w:ascii="宋体" w:hAnsi="宋体"/>
                <w:lang w:val="zh-CN"/>
              </w:rPr>
              <w:t>分，满分</w:t>
            </w:r>
            <w:r>
              <w:rPr>
                <w:rFonts w:hint="eastAsia" w:ascii="宋体" w:hAnsi="宋体"/>
              </w:rPr>
              <w:t>10</w:t>
            </w:r>
            <w:r>
              <w:rPr>
                <w:rFonts w:hint="eastAsia" w:ascii="宋体" w:hAnsi="宋体"/>
                <w:lang w:val="zh-CN"/>
              </w:rPr>
              <w:t>分。</w:t>
            </w:r>
            <w:r>
              <w:rPr>
                <w:rFonts w:hint="eastAsia" w:ascii="宋体" w:hAnsi="宋体"/>
                <w:bCs/>
              </w:rPr>
              <w:t>（以中标通知书或签订合同为准）</w:t>
            </w:r>
            <w:r>
              <w:rPr>
                <w:rFonts w:hint="eastAsia" w:ascii="宋体" w:hAnsi="宋体"/>
                <w:b/>
                <w:bCs/>
                <w:color w:val="000000"/>
                <w:kern w:val="0"/>
                <w:szCs w:val="21"/>
              </w:rPr>
              <w:t>（投标文件商务、技术证明文件提供复印件，未提供者不得分）。</w:t>
            </w:r>
          </w:p>
        </w:tc>
      </w:tr>
    </w:tbl>
    <w:p>
      <w:pPr>
        <w:spacing w:line="400" w:lineRule="exact"/>
        <w:ind w:firstLine="480" w:firstLineChars="200"/>
        <w:rPr>
          <w:rFonts w:ascii="宋体" w:hAnsi="宋体"/>
        </w:rPr>
      </w:pPr>
    </w:p>
    <w:p>
      <w:pPr>
        <w:spacing w:line="400" w:lineRule="exact"/>
        <w:ind w:firstLine="480" w:firstLineChars="200"/>
        <w:rPr>
          <w:rFonts w:ascii="宋体" w:hAnsi="宋体"/>
        </w:rPr>
      </w:pPr>
      <w:r>
        <w:rPr>
          <w:rFonts w:hint="eastAsia" w:ascii="宋体" w:hAnsi="宋体"/>
        </w:rPr>
        <w:t>注：1.评分办法中所要求的所有证明材料均需按要求附投标文件商务、技术证明文件中，否则不得分。</w:t>
      </w:r>
    </w:p>
    <w:p>
      <w:pPr>
        <w:spacing w:line="400" w:lineRule="exact"/>
        <w:ind w:firstLine="480" w:firstLineChars="200"/>
        <w:rPr>
          <w:rFonts w:ascii="宋体" w:hAnsi="宋体"/>
        </w:rPr>
      </w:pPr>
      <w:r>
        <w:rPr>
          <w:rFonts w:hint="eastAsia" w:ascii="宋体" w:hAnsi="宋体"/>
        </w:rPr>
        <w:t>2.评分分值及计算结果精确到小数点后二位，二位以后四舍五入。</w:t>
      </w:r>
    </w:p>
    <w:p>
      <w:pPr>
        <w:spacing w:line="400" w:lineRule="exact"/>
        <w:ind w:firstLine="480" w:firstLineChars="200"/>
        <w:rPr>
          <w:rFonts w:ascii="宋体" w:hAnsi="宋体"/>
        </w:rPr>
      </w:pPr>
      <w:r>
        <w:rPr>
          <w:rFonts w:hint="eastAsia" w:ascii="宋体" w:hAnsi="宋体"/>
        </w:rPr>
        <w:t xml:space="preserve"> 3.评标时，评标委员会各成员应当独立对每个有效投标人的投标文件进行评价、打分，然后汇总每个投标人每项评分因素的得分，取各评委评分的算术平均数作为投标人的评标最后得分。</w:t>
      </w:r>
    </w:p>
    <w:p>
      <w:pPr>
        <w:spacing w:line="400" w:lineRule="exact"/>
        <w:ind w:firstLine="480" w:firstLineChars="200"/>
        <w:rPr>
          <w:rFonts w:ascii="宋体" w:hAnsi="宋体"/>
        </w:rPr>
      </w:pPr>
      <w:r>
        <w:rPr>
          <w:rFonts w:hint="eastAsia" w:ascii="宋体" w:hAnsi="宋体"/>
        </w:rPr>
        <w:t xml:space="preserve"> 4.评标委员会将按照评标最后得分由高到低的顺序对所有投标文件实质上响应招标文件要求的投标人进行排序；得分相同的，按投标报价由低到高顺序排列；得分和投标报价均相同的，按技术指标优劣（技术及服务部分得分由高到低）顺序排列。</w:t>
      </w:r>
    </w:p>
    <w:bookmarkEnd w:id="41"/>
    <w:p>
      <w:pPr>
        <w:rPr>
          <w:rFonts w:ascii="Times New Roman" w:hAnsi="Times New Roman" w:cs="Times New Roman"/>
        </w:rPr>
      </w:pPr>
    </w:p>
    <w:p>
      <w:pPr>
        <w:rPr>
          <w:rFonts w:ascii="Times New Roman" w:hAnsi="Times New Roman" w:cs="Times New Roman"/>
        </w:rPr>
      </w:pPr>
    </w:p>
    <w:p>
      <w:pPr>
        <w:rPr>
          <w:rFonts w:ascii="Times New Roman" w:hAnsi="Times New Roman" w:cs="Times New Roman"/>
        </w:rPr>
      </w:pPr>
    </w:p>
    <w:sectPr>
      <w:footerReference r:id="rId4" w:type="default"/>
      <w:pgSz w:w="11907" w:h="16840"/>
      <w:pgMar w:top="1440" w:right="1080" w:bottom="1440" w:left="1080" w:header="567" w:footer="998" w:gutter="0"/>
      <w:cols w:space="720" w:num="1"/>
      <w:docGrid w:type="lines" w:linePitch="38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Book Antiqua">
    <w:altName w:val="Palatino"/>
    <w:panose1 w:val="00000000000000000000"/>
    <w:charset w:val="00"/>
    <w:family w:val="roman"/>
    <w:pitch w:val="default"/>
    <w:sig w:usb0="00000000" w:usb1="00000000" w:usb2="00000000" w:usb3="00000000" w:csb0="2000009F" w:csb1="DFD70000"/>
  </w:font>
  <w:font w:name="楷体_GB2312">
    <w:altName w:val="楷体"/>
    <w:panose1 w:val="00000000000000000000"/>
    <w:charset w:val="86"/>
    <w:family w:val="modern"/>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monospace">
    <w:altName w:val="Segoe Print"/>
    <w:panose1 w:val="00000000000000000000"/>
    <w:charset w:val="00"/>
    <w:family w:val="auto"/>
    <w:pitch w:val="default"/>
    <w:sig w:usb0="00000000" w:usb1="00000000" w:usb2="00000000" w:usb3="00000000" w:csb0="00040001" w:csb1="00000000"/>
  </w:font>
  <w:font w:name="微软雅黑">
    <w:panose1 w:val="020B0503020204020204"/>
    <w:charset w:val="86"/>
    <w:family w:val="swiss"/>
    <w:pitch w:val="default"/>
    <w:sig w:usb0="80000287" w:usb1="280F3C52" w:usb2="00000016" w:usb3="00000000" w:csb0="0004001F" w:csb1="00000000"/>
  </w:font>
  <w:font w:name="华文中宋">
    <w:altName w:val="宋体"/>
    <w:panose1 w:val="00000000000000000000"/>
    <w:charset w:val="86"/>
    <w:family w:val="auto"/>
    <w:pitch w:val="default"/>
    <w:sig w:usb0="00000000" w:usb1="00000000" w:usb2="00000000" w:usb3="00000000" w:csb0="0004009F" w:csb1="DFD70000"/>
  </w:font>
  <w:font w:name="Palatino">
    <w:panose1 w:val="02040602050305020304"/>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pict>
        <v:shape id="_x0000_s4097" o:spid="_x0000_s4097" o:spt="202" type="#_x0000_t202" style="position:absolute;left:0pt;margin-top:0pt;height:144pt;width:144pt;mso-position-horizontal:center;mso-position-horizontal-relative:margin;mso-wrap-style:none;z-index:251658240;mso-width-relative:page;mso-height-relative:page;" filled="f" stroked="f" coordsize="21600,21600">
          <v:path/>
          <v:fill on="f" focussize="0,0"/>
          <v:stroke on="f" weight="1.25pt" joinstyle="miter"/>
          <v:imagedata o:title=""/>
          <o:lock v:ext="edit"/>
          <v:textbox inset="0mm,0mm,0mm,0mm" style="mso-fit-shape-to-text:t;">
            <w:txbxContent>
              <w:p>
                <w:pPr>
                  <w:pStyle w:val="21"/>
                </w:pPr>
                <w:r>
                  <w:rPr>
                    <w:rFonts w:hint="eastAsia"/>
                  </w:rPr>
                  <w:t xml:space="preserve">第 </w:t>
                </w:r>
                <w:r>
                  <w:fldChar w:fldCharType="begin"/>
                </w:r>
                <w:r>
                  <w:instrText xml:space="preserve"> PAGE  \* MERGEFORMAT </w:instrText>
                </w:r>
                <w:r>
                  <w:fldChar w:fldCharType="separate"/>
                </w:r>
                <w:r>
                  <w:t>1</w:t>
                </w:r>
                <w:r>
                  <w:fldChar w:fldCharType="end"/>
                </w:r>
                <w:r>
                  <w:rPr>
                    <w:rFonts w:hint="eastAsia"/>
                  </w:rPr>
                  <w:t xml:space="preserve"> 页 共 </w:t>
                </w:r>
                <w:r>
                  <w:fldChar w:fldCharType="begin"/>
                </w:r>
                <w:r>
                  <w:instrText xml:space="preserve"> NUMPAGES  \* MERGEFORMAT </w:instrText>
                </w:r>
                <w:r>
                  <w:fldChar w:fldCharType="separate"/>
                </w:r>
                <w:r>
                  <w:t>82</w:t>
                </w:r>
                <w:r>
                  <w:fldChar w:fldCharType="end"/>
                </w:r>
                <w:r>
                  <w:rPr>
                    <w:rFonts w:hint="eastAsia"/>
                  </w:rPr>
                  <w:t xml:space="preserve"> 页</w:t>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pict>
        <v:shape id="文本框7" o:spid="_x0000_s4098" o:spt="202" type="#_x0000_t202" style="position:absolute;left:0pt;margin-top:0pt;height:15.9pt;width:100.1pt;mso-position-horizontal:center;mso-position-horizontal-relative:margin;z-index:251657216;mso-width-relative:page;mso-height-relative:page;" filled="f" stroked="f" coordsize="21600,21600">
          <v:path/>
          <v:fill on="f" focussize="0,0"/>
          <v:stroke on="f" joinstyle="miter"/>
          <v:imagedata o:title=""/>
          <o:lock v:ext="edit"/>
          <v:textbox inset="0mm,0mm,0mm,0mm">
            <w:txbxContent>
              <w:p>
                <w:pPr>
                  <w:snapToGrid w:val="0"/>
                  <w:rPr>
                    <w:sz w:val="18"/>
                  </w:rPr>
                </w:pPr>
                <w:r>
                  <w:rPr>
                    <w:rFonts w:hint="eastAsia"/>
                    <w:sz w:val="18"/>
                  </w:rPr>
                  <w:t xml:space="preserve">第 </w:t>
                </w: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82</w:t>
                </w:r>
                <w:r>
                  <w:rPr>
                    <w:rFonts w:hint="eastAsia"/>
                    <w:sz w:val="18"/>
                  </w:rPr>
                  <w:fldChar w:fldCharType="end"/>
                </w:r>
                <w:r>
                  <w:rPr>
                    <w:rFonts w:hint="eastAsia"/>
                    <w:sz w:val="18"/>
                  </w:rPr>
                  <w:t xml:space="preserve"> 页 共 </w:t>
                </w:r>
                <w:r>
                  <w:fldChar w:fldCharType="begin"/>
                </w:r>
                <w:r>
                  <w:instrText xml:space="preserve"> NUMPAGES  \* MERGEFORMAT </w:instrText>
                </w:r>
                <w:r>
                  <w:fldChar w:fldCharType="separate"/>
                </w:r>
                <w:r>
                  <w:rPr>
                    <w:sz w:val="18"/>
                  </w:rPr>
                  <w:t>82</w:t>
                </w:r>
                <w:r>
                  <w:rPr>
                    <w:sz w:val="18"/>
                  </w:rPr>
                  <w:fldChar w:fldCharType="end"/>
                </w:r>
                <w:r>
                  <w:rPr>
                    <w:rFonts w:hint="eastAsia"/>
                    <w:sz w:val="18"/>
                  </w:rPr>
                  <w:t xml:space="preserve"> 页</w:t>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chineseCountingThousand"/>
      <w:suff w:val="nothing"/>
      <w:lvlText w:val="%4、"/>
      <w:lvlJc w:val="left"/>
      <w:pPr>
        <w:ind w:left="0" w:firstLine="0"/>
      </w:pPr>
      <w:rPr>
        <w:rFonts w:hint="eastAsia"/>
      </w:r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00000002"/>
    <w:multiLevelType w:val="multilevel"/>
    <w:tmpl w:val="00000002"/>
    <w:lvl w:ilvl="0" w:tentative="0">
      <w:start w:val="1"/>
      <w:numFmt w:val="decimal"/>
      <w:suff w:val="nothing"/>
      <w:lvlText w:val="3.%1"/>
      <w:lvlJc w:val="left"/>
      <w:pPr>
        <w:ind w:left="368" w:firstLine="0"/>
      </w:pPr>
      <w:rPr>
        <w:rFonts w:hint="eastAsia"/>
      </w:rPr>
    </w:lvl>
    <w:lvl w:ilvl="1" w:tentative="0">
      <w:start w:val="1"/>
      <w:numFmt w:val="decimal"/>
      <w:suff w:val="nothing"/>
      <w:lvlText w:val="3.%2"/>
      <w:lvlJc w:val="left"/>
      <w:pPr>
        <w:ind w:left="0" w:firstLine="0"/>
      </w:pPr>
      <w:rPr>
        <w:rFonts w:hint="eastAsia"/>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00000003"/>
    <w:multiLevelType w:val="multilevel"/>
    <w:tmpl w:val="00000003"/>
    <w:lvl w:ilvl="0" w:tentative="0">
      <w:start w:val="1"/>
      <w:numFmt w:val="decimal"/>
      <w:lvlText w:val="%1."/>
      <w:lvlJc w:val="left"/>
      <w:pPr>
        <w:ind w:left="845" w:hanging="420"/>
      </w:pPr>
      <w:rPr>
        <w:rFonts w:hint="eastAsia"/>
      </w:rPr>
    </w:lvl>
    <w:lvl w:ilvl="1" w:tentative="0">
      <w:start w:val="1"/>
      <w:numFmt w:val="lowerLetter"/>
      <w:lvlText w:val="%2)"/>
      <w:lvlJc w:val="left"/>
      <w:pPr>
        <w:ind w:left="1265" w:hanging="420"/>
      </w:pPr>
    </w:lvl>
    <w:lvl w:ilvl="2" w:tentative="0">
      <w:start w:val="1"/>
      <w:numFmt w:val="decimal"/>
      <w:suff w:val="nothing"/>
      <w:lvlText w:val="%3."/>
      <w:lvlJc w:val="left"/>
      <w:pPr>
        <w:ind w:left="0" w:firstLine="0"/>
      </w:pPr>
      <w:rPr>
        <w:rFonts w:hint="eastAsia"/>
      </w:rPr>
    </w:lvl>
    <w:lvl w:ilvl="3" w:tentative="0">
      <w:start w:val="1"/>
      <w:numFmt w:val="decimal"/>
      <w:lvlText w:val="%4."/>
      <w:lvlJc w:val="left"/>
      <w:pPr>
        <w:ind w:left="2105" w:hanging="420"/>
      </w:pPr>
    </w:lvl>
    <w:lvl w:ilvl="4" w:tentative="0">
      <w:start w:val="1"/>
      <w:numFmt w:val="lowerLetter"/>
      <w:lvlText w:val="%5)"/>
      <w:lvlJc w:val="left"/>
      <w:pPr>
        <w:ind w:left="2525" w:hanging="420"/>
      </w:pPr>
    </w:lvl>
    <w:lvl w:ilvl="5" w:tentative="0">
      <w:start w:val="1"/>
      <w:numFmt w:val="lowerRoman"/>
      <w:lvlText w:val="%6."/>
      <w:lvlJc w:val="right"/>
      <w:pPr>
        <w:ind w:left="2945" w:hanging="420"/>
      </w:pPr>
    </w:lvl>
    <w:lvl w:ilvl="6" w:tentative="0">
      <w:start w:val="1"/>
      <w:numFmt w:val="decimal"/>
      <w:lvlText w:val="%7."/>
      <w:lvlJc w:val="left"/>
      <w:pPr>
        <w:ind w:left="3365" w:hanging="420"/>
      </w:pPr>
    </w:lvl>
    <w:lvl w:ilvl="7" w:tentative="0">
      <w:start w:val="1"/>
      <w:numFmt w:val="lowerLetter"/>
      <w:lvlText w:val="%8)"/>
      <w:lvlJc w:val="left"/>
      <w:pPr>
        <w:ind w:left="3785" w:hanging="420"/>
      </w:pPr>
    </w:lvl>
    <w:lvl w:ilvl="8" w:tentative="0">
      <w:start w:val="1"/>
      <w:numFmt w:val="lowerRoman"/>
      <w:lvlText w:val="%9."/>
      <w:lvlJc w:val="right"/>
      <w:pPr>
        <w:ind w:left="4205" w:hanging="420"/>
      </w:pPr>
    </w:lvl>
  </w:abstractNum>
  <w:abstractNum w:abstractNumId="3">
    <w:nsid w:val="00000004"/>
    <w:multiLevelType w:val="multilevel"/>
    <w:tmpl w:val="00000004"/>
    <w:lvl w:ilvl="0" w:tentative="0">
      <w:start w:val="1"/>
      <w:numFmt w:val="decimal"/>
      <w:suff w:val="nothing"/>
      <w:lvlText w:val="%1."/>
      <w:lvlJc w:val="left"/>
      <w:pPr>
        <w:ind w:left="0" w:firstLine="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00000006"/>
    <w:multiLevelType w:val="multilevel"/>
    <w:tmpl w:val="00000006"/>
    <w:lvl w:ilvl="0" w:tentative="0">
      <w:start w:val="1"/>
      <w:numFmt w:val="decimal"/>
      <w:suff w:val="nothing"/>
      <w:lvlText w:val="（%1）"/>
      <w:lvlJc w:val="left"/>
      <w:pPr>
        <w:ind w:left="0" w:firstLine="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5">
    <w:nsid w:val="00000007"/>
    <w:multiLevelType w:val="multilevel"/>
    <w:tmpl w:val="00000007"/>
    <w:lvl w:ilvl="0" w:tentative="0">
      <w:start w:val="1"/>
      <w:numFmt w:val="decimal"/>
      <w:suff w:val="nothing"/>
      <w:lvlText w:val="2.%1"/>
      <w:lvlJc w:val="left"/>
      <w:pPr>
        <w:ind w:left="0" w:firstLine="0"/>
      </w:pPr>
      <w:rPr>
        <w:rFonts w:hint="eastAsia"/>
      </w:rPr>
    </w:lvl>
    <w:lvl w:ilvl="1" w:tentative="0">
      <w:start w:val="1"/>
      <w:numFmt w:val="decimal"/>
      <w:suff w:val="nothing"/>
      <w:lvlText w:val="2.%2"/>
      <w:lvlJc w:val="left"/>
      <w:pPr>
        <w:ind w:left="0" w:firstLine="0"/>
      </w:pPr>
      <w:rPr>
        <w:rFonts w:hint="eastAsia"/>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00000008"/>
    <w:multiLevelType w:val="multilevel"/>
    <w:tmpl w:val="00000008"/>
    <w:lvl w:ilvl="0" w:tentative="0">
      <w:start w:val="1"/>
      <w:numFmt w:val="decimal"/>
      <w:pStyle w:val="89"/>
      <w:lvlText w:val="%1."/>
      <w:lvlJc w:val="left"/>
      <w:pPr>
        <w:tabs>
          <w:tab w:val="left" w:pos="425"/>
        </w:tabs>
        <w:ind w:left="425" w:hanging="425"/>
      </w:pPr>
      <w:rPr>
        <w:rFonts w:hint="eastAsia"/>
        <w:b/>
        <w:i w:val="0"/>
      </w:rPr>
    </w:lvl>
    <w:lvl w:ilvl="1" w:tentative="0">
      <w:start w:val="1"/>
      <w:numFmt w:val="decimal"/>
      <w:lvlText w:val="%1.%2."/>
      <w:lvlJc w:val="left"/>
      <w:pPr>
        <w:tabs>
          <w:tab w:val="left" w:pos="170"/>
        </w:tabs>
        <w:ind w:left="170" w:hanging="170"/>
      </w:pPr>
      <w:rPr>
        <w:rFonts w:hint="eastAsia"/>
      </w:rPr>
    </w:lvl>
    <w:lvl w:ilvl="2" w:tentative="0">
      <w:start w:val="1"/>
      <w:numFmt w:val="decimal"/>
      <w:lvlText w:val="%1.%2.%3."/>
      <w:lvlJc w:val="left"/>
      <w:pPr>
        <w:tabs>
          <w:tab w:val="left" w:pos="340"/>
        </w:tabs>
        <w:ind w:left="340" w:hanging="170"/>
      </w:pPr>
      <w:rPr>
        <w:rFonts w:hint="eastAsia"/>
        <w:color w:val="auto"/>
      </w:rPr>
    </w:lvl>
    <w:lvl w:ilvl="3" w:tentative="0">
      <w:start w:val="1"/>
      <w:numFmt w:val="decimal"/>
      <w:lvlText w:val="%1.%2.%3.%4."/>
      <w:lvlJc w:val="left"/>
      <w:pPr>
        <w:tabs>
          <w:tab w:val="left" w:pos="510"/>
        </w:tabs>
        <w:ind w:left="510" w:hanging="170"/>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7">
    <w:nsid w:val="00000009"/>
    <w:multiLevelType w:val="multilevel"/>
    <w:tmpl w:val="00000009"/>
    <w:lvl w:ilvl="0" w:tentative="0">
      <w:start w:val="1"/>
      <w:numFmt w:val="decimal"/>
      <w:lvlText w:val="%1."/>
      <w:lvlJc w:val="left"/>
      <w:pPr>
        <w:ind w:left="439" w:hanging="420"/>
      </w:pPr>
    </w:lvl>
    <w:lvl w:ilvl="1" w:tentative="0">
      <w:start w:val="1"/>
      <w:numFmt w:val="decimal"/>
      <w:lvlText w:val="%2."/>
      <w:lvlJc w:val="left"/>
      <w:pPr>
        <w:ind w:left="799" w:hanging="360"/>
      </w:pPr>
      <w:rPr>
        <w:rFonts w:hint="default"/>
      </w:rPr>
    </w:lvl>
    <w:lvl w:ilvl="2" w:tentative="0">
      <w:start w:val="1"/>
      <w:numFmt w:val="decimal"/>
      <w:suff w:val="nothing"/>
      <w:lvlText w:val="%3."/>
      <w:lvlJc w:val="left"/>
      <w:pPr>
        <w:ind w:left="0" w:firstLine="0"/>
      </w:pPr>
      <w:rPr>
        <w:rFonts w:hint="eastAsia"/>
      </w:rPr>
    </w:lvl>
    <w:lvl w:ilvl="3" w:tentative="0">
      <w:start w:val="1"/>
      <w:numFmt w:val="japaneseCounting"/>
      <w:lvlText w:val="%4、"/>
      <w:lvlJc w:val="left"/>
      <w:pPr>
        <w:ind w:left="1999" w:hanging="720"/>
      </w:pPr>
      <w:rPr>
        <w:rFonts w:hint="default"/>
      </w:rPr>
    </w:lvl>
    <w:lvl w:ilvl="4" w:tentative="0">
      <w:start w:val="1"/>
      <w:numFmt w:val="lowerLetter"/>
      <w:lvlText w:val="%5)"/>
      <w:lvlJc w:val="left"/>
      <w:pPr>
        <w:ind w:left="2119" w:hanging="420"/>
      </w:pPr>
    </w:lvl>
    <w:lvl w:ilvl="5" w:tentative="0">
      <w:start w:val="1"/>
      <w:numFmt w:val="lowerRoman"/>
      <w:lvlText w:val="%6."/>
      <w:lvlJc w:val="right"/>
      <w:pPr>
        <w:ind w:left="2539" w:hanging="420"/>
      </w:pPr>
    </w:lvl>
    <w:lvl w:ilvl="6" w:tentative="0">
      <w:start w:val="1"/>
      <w:numFmt w:val="decimal"/>
      <w:lvlText w:val="%7."/>
      <w:lvlJc w:val="left"/>
      <w:pPr>
        <w:ind w:left="2959" w:hanging="420"/>
      </w:pPr>
    </w:lvl>
    <w:lvl w:ilvl="7" w:tentative="0">
      <w:start w:val="1"/>
      <w:numFmt w:val="lowerLetter"/>
      <w:lvlText w:val="%8)"/>
      <w:lvlJc w:val="left"/>
      <w:pPr>
        <w:ind w:left="3379" w:hanging="420"/>
      </w:pPr>
    </w:lvl>
    <w:lvl w:ilvl="8" w:tentative="0">
      <w:start w:val="1"/>
      <w:numFmt w:val="lowerRoman"/>
      <w:lvlText w:val="%9."/>
      <w:lvlJc w:val="right"/>
      <w:pPr>
        <w:ind w:left="3799" w:hanging="420"/>
      </w:pPr>
    </w:lvl>
  </w:abstractNum>
  <w:abstractNum w:abstractNumId="8">
    <w:nsid w:val="0000000B"/>
    <w:multiLevelType w:val="multilevel"/>
    <w:tmpl w:val="0000000B"/>
    <w:lvl w:ilvl="0" w:tentative="0">
      <w:start w:val="1"/>
      <w:numFmt w:val="decimal"/>
      <w:suff w:val="nothing"/>
      <w:lvlText w:val="34.%1"/>
      <w:lvlJc w:val="left"/>
      <w:pPr>
        <w:ind w:left="420" w:firstLine="0"/>
      </w:pPr>
      <w:rPr>
        <w:rFonts w:hint="default"/>
      </w:rPr>
    </w:lvl>
    <w:lvl w:ilvl="1" w:tentative="0">
      <w:start w:val="1"/>
      <w:numFmt w:val="decimal"/>
      <w:suff w:val="nothing"/>
      <w:lvlText w:val="34.%2"/>
      <w:lvlJc w:val="left"/>
      <w:pPr>
        <w:ind w:left="0" w:firstLine="0"/>
      </w:pPr>
      <w:rPr>
        <w:rFonts w:hint="default"/>
      </w:rPr>
    </w:lvl>
    <w:lvl w:ilvl="2" w:tentative="0">
      <w:start w:val="1"/>
      <w:numFmt w:val="decimal"/>
      <w:lvlText w:val="%3."/>
      <w:lvlJc w:val="left"/>
      <w:pPr>
        <w:ind w:left="1560" w:hanging="720"/>
      </w:pPr>
      <w:rPr>
        <w:rFonts w:hint="default"/>
      </w:r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0000000C"/>
    <w:multiLevelType w:val="multilevel"/>
    <w:tmpl w:val="0000000C"/>
    <w:lvl w:ilvl="0" w:tentative="0">
      <w:start w:val="1"/>
      <w:numFmt w:val="chineseCountingThousand"/>
      <w:suff w:val="space"/>
      <w:lvlText w:val="第%1章"/>
      <w:lvlJc w:val="left"/>
      <w:pPr>
        <w:ind w:left="0" w:firstLine="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0000000D"/>
    <w:multiLevelType w:val="multilevel"/>
    <w:tmpl w:val="0000000D"/>
    <w:lvl w:ilvl="0" w:tentative="0">
      <w:start w:val="1"/>
      <w:numFmt w:val="japaneseCounting"/>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chineseCountingThousand"/>
      <w:suff w:val="nothing"/>
      <w:lvlText w:val="%4、"/>
      <w:lvlJc w:val="left"/>
      <w:pPr>
        <w:ind w:left="0" w:firstLine="0"/>
      </w:pPr>
      <w:rPr>
        <w:rFonts w:hint="default"/>
      </w:r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00000010"/>
    <w:multiLevelType w:val="multilevel"/>
    <w:tmpl w:val="00000010"/>
    <w:lvl w:ilvl="0" w:tentative="0">
      <w:start w:val="1"/>
      <w:numFmt w:val="decimal"/>
      <w:suff w:val="nothing"/>
      <w:lvlText w:val="3.%1"/>
      <w:lvlJc w:val="left"/>
      <w:pPr>
        <w:ind w:left="0" w:firstLine="0"/>
      </w:pPr>
      <w:rPr>
        <w:rFonts w:hint="eastAsia"/>
      </w:rPr>
    </w:lvl>
    <w:lvl w:ilvl="1" w:tentative="0">
      <w:start w:val="1"/>
      <w:numFmt w:val="decimal"/>
      <w:lvlText w:val="3.%2"/>
      <w:lvlJc w:val="left"/>
      <w:pPr>
        <w:ind w:left="840" w:hanging="420"/>
      </w:pPr>
      <w:rPr>
        <w:rFonts w:hint="eastAsia"/>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00000011"/>
    <w:multiLevelType w:val="multilevel"/>
    <w:tmpl w:val="00000011"/>
    <w:lvl w:ilvl="0" w:tentative="0">
      <w:start w:val="1"/>
      <w:numFmt w:val="decimal"/>
      <w:suff w:val="nothing"/>
      <w:lvlText w:val="13.%1"/>
      <w:lvlJc w:val="left"/>
      <w:pPr>
        <w:ind w:left="420" w:firstLine="0"/>
      </w:pPr>
      <w:rPr>
        <w:rFonts w:hint="eastAsia"/>
      </w:rPr>
    </w:lvl>
    <w:lvl w:ilvl="1" w:tentative="0">
      <w:start w:val="1"/>
      <w:numFmt w:val="decimal"/>
      <w:suff w:val="nothing"/>
      <w:lvlText w:val="13.%2"/>
      <w:lvlJc w:val="left"/>
      <w:pPr>
        <w:ind w:left="0" w:firstLine="0"/>
      </w:pPr>
      <w:rPr>
        <w:rFonts w:hint="eastAsia"/>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00000013"/>
    <w:multiLevelType w:val="multilevel"/>
    <w:tmpl w:val="00000013"/>
    <w:lvl w:ilvl="0" w:tentative="0">
      <w:start w:val="1"/>
      <w:numFmt w:val="decimal"/>
      <w:suff w:val="nothing"/>
      <w:lvlText w:val="20.%1"/>
      <w:lvlJc w:val="left"/>
      <w:pPr>
        <w:ind w:left="420" w:firstLine="0"/>
      </w:pPr>
      <w:rPr>
        <w:rFonts w:hint="eastAsia"/>
      </w:rPr>
    </w:lvl>
    <w:lvl w:ilvl="1" w:tentative="0">
      <w:start w:val="1"/>
      <w:numFmt w:val="decimal"/>
      <w:suff w:val="nothing"/>
      <w:lvlText w:val="20.%2"/>
      <w:lvlJc w:val="left"/>
      <w:pPr>
        <w:ind w:left="0" w:firstLine="0"/>
      </w:pPr>
      <w:rPr>
        <w:rFonts w:hint="eastAsia"/>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00000014"/>
    <w:multiLevelType w:val="multilevel"/>
    <w:tmpl w:val="00000014"/>
    <w:lvl w:ilvl="0" w:tentative="0">
      <w:start w:val="1"/>
      <w:numFmt w:val="decimal"/>
      <w:lvlText w:val="%1."/>
      <w:lvlJc w:val="left"/>
      <w:pPr>
        <w:ind w:left="840" w:hanging="420"/>
      </w:pPr>
    </w:lvl>
    <w:lvl w:ilvl="1" w:tentative="0">
      <w:start w:val="1"/>
      <w:numFmt w:val="decimal"/>
      <w:suff w:val="nothing"/>
      <w:lvlText w:val="%2."/>
      <w:lvlJc w:val="left"/>
      <w:pPr>
        <w:ind w:left="0" w:firstLine="0"/>
      </w:pPr>
      <w:rPr>
        <w:rFonts w:hint="eastAsia"/>
      </w:rPr>
    </w:lvl>
    <w:lvl w:ilvl="2" w:tentative="0">
      <w:start w:val="1"/>
      <w:numFmt w:val="decimal"/>
      <w:lvlText w:val="%3、"/>
      <w:lvlJc w:val="left"/>
      <w:pPr>
        <w:ind w:left="1620" w:hanging="360"/>
      </w:pPr>
      <w:rPr>
        <w:rFonts w:hint="default" w:hAnsi="宋体" w:cs="宋体"/>
      </w:r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5">
    <w:nsid w:val="00000015"/>
    <w:multiLevelType w:val="multilevel"/>
    <w:tmpl w:val="00000015"/>
    <w:lvl w:ilvl="0" w:tentative="0">
      <w:start w:val="1"/>
      <w:numFmt w:val="decimal"/>
      <w:suff w:val="nothing"/>
      <w:lvlText w:val="16.%1"/>
      <w:lvlJc w:val="left"/>
      <w:pPr>
        <w:ind w:left="420" w:firstLine="0"/>
      </w:pPr>
      <w:rPr>
        <w:rFonts w:hint="eastAsia"/>
      </w:rPr>
    </w:lvl>
    <w:lvl w:ilvl="1" w:tentative="0">
      <w:start w:val="1"/>
      <w:numFmt w:val="decimal"/>
      <w:suff w:val="nothing"/>
      <w:lvlText w:val="16.%2"/>
      <w:lvlJc w:val="left"/>
      <w:pPr>
        <w:ind w:left="0" w:firstLine="0"/>
      </w:pPr>
      <w:rPr>
        <w:rFonts w:hint="eastAsia"/>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6">
    <w:nsid w:val="00000018"/>
    <w:multiLevelType w:val="multilevel"/>
    <w:tmpl w:val="00000018"/>
    <w:lvl w:ilvl="0" w:tentative="0">
      <w:start w:val="1"/>
      <w:numFmt w:val="decimal"/>
      <w:suff w:val="nothing"/>
      <w:lvlText w:val="（%1）"/>
      <w:lvlJc w:val="left"/>
      <w:pPr>
        <w:ind w:left="0" w:firstLine="0"/>
      </w:pPr>
      <w:rPr>
        <w:rFonts w:hint="default"/>
        <w:color w:val="auto"/>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7">
    <w:nsid w:val="00000019"/>
    <w:multiLevelType w:val="multilevel"/>
    <w:tmpl w:val="00000019"/>
    <w:lvl w:ilvl="0" w:tentative="0">
      <w:start w:val="1"/>
      <w:numFmt w:val="decimal"/>
      <w:suff w:val="nothing"/>
      <w:lvlText w:val="（%1）"/>
      <w:lvlJc w:val="left"/>
      <w:pPr>
        <w:ind w:left="0" w:firstLine="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8">
    <w:nsid w:val="0000001B"/>
    <w:multiLevelType w:val="multilevel"/>
    <w:tmpl w:val="0000001B"/>
    <w:lvl w:ilvl="0" w:tentative="0">
      <w:start w:val="1"/>
      <w:numFmt w:val="chineseCountingThousand"/>
      <w:suff w:val="nothing"/>
      <w:lvlText w:val="（%1）"/>
      <w:lvlJc w:val="left"/>
      <w:pPr>
        <w:ind w:left="0" w:firstLine="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9">
    <w:nsid w:val="0000001D"/>
    <w:multiLevelType w:val="multilevel"/>
    <w:tmpl w:val="0000001D"/>
    <w:lvl w:ilvl="0" w:tentative="0">
      <w:start w:val="1"/>
      <w:numFmt w:val="decimal"/>
      <w:suff w:val="nothing"/>
      <w:lvlText w:val="（%1）"/>
      <w:lvlJc w:val="left"/>
      <w:pPr>
        <w:ind w:left="0" w:firstLine="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0">
    <w:nsid w:val="0000001E"/>
    <w:multiLevelType w:val="multilevel"/>
    <w:tmpl w:val="0000001E"/>
    <w:lvl w:ilvl="0" w:tentative="0">
      <w:start w:val="1"/>
      <w:numFmt w:val="decimal"/>
      <w:suff w:val="nothing"/>
      <w:lvlText w:val="29.%1"/>
      <w:lvlJc w:val="left"/>
      <w:pPr>
        <w:ind w:left="426" w:firstLine="0"/>
      </w:pPr>
      <w:rPr>
        <w:rFonts w:hint="default"/>
        <w:color w:val="auto"/>
      </w:rPr>
    </w:lvl>
    <w:lvl w:ilvl="1" w:tentative="0">
      <w:start w:val="1"/>
      <w:numFmt w:val="decimal"/>
      <w:suff w:val="nothing"/>
      <w:lvlText w:val="29.%2"/>
      <w:lvlJc w:val="left"/>
      <w:pPr>
        <w:ind w:left="0" w:firstLine="0"/>
      </w:pPr>
      <w:rPr>
        <w:rFonts w:hint="default"/>
        <w:color w:val="auto"/>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1">
    <w:nsid w:val="0000001F"/>
    <w:multiLevelType w:val="multilevel"/>
    <w:tmpl w:val="0000001F"/>
    <w:lvl w:ilvl="0" w:tentative="0">
      <w:start w:val="1"/>
      <w:numFmt w:val="chineseCountingThousand"/>
      <w:lvlText w:val="(%1)"/>
      <w:lvlJc w:val="left"/>
      <w:pPr>
        <w:ind w:left="982" w:hanging="420"/>
      </w:pPr>
    </w:lvl>
    <w:lvl w:ilvl="1" w:tentative="0">
      <w:start w:val="1"/>
      <w:numFmt w:val="chineseCountingThousand"/>
      <w:suff w:val="nothing"/>
      <w:lvlText w:val="(%2)"/>
      <w:lvlJc w:val="left"/>
      <w:pPr>
        <w:ind w:left="0" w:firstLine="0"/>
      </w:pPr>
      <w:rPr>
        <w:rFonts w:hint="eastAsia"/>
      </w:rPr>
    </w:lvl>
    <w:lvl w:ilvl="2" w:tentative="0">
      <w:start w:val="1"/>
      <w:numFmt w:val="lowerRoman"/>
      <w:lvlText w:val="%3."/>
      <w:lvlJc w:val="right"/>
      <w:pPr>
        <w:ind w:left="1822" w:hanging="420"/>
      </w:pPr>
    </w:lvl>
    <w:lvl w:ilvl="3" w:tentative="0">
      <w:start w:val="1"/>
      <w:numFmt w:val="decimal"/>
      <w:lvlText w:val="%4."/>
      <w:lvlJc w:val="left"/>
      <w:pPr>
        <w:ind w:left="2242" w:hanging="420"/>
      </w:pPr>
    </w:lvl>
    <w:lvl w:ilvl="4" w:tentative="0">
      <w:start w:val="1"/>
      <w:numFmt w:val="lowerLetter"/>
      <w:lvlText w:val="%5)"/>
      <w:lvlJc w:val="left"/>
      <w:pPr>
        <w:ind w:left="2662" w:hanging="420"/>
      </w:pPr>
    </w:lvl>
    <w:lvl w:ilvl="5" w:tentative="0">
      <w:start w:val="1"/>
      <w:numFmt w:val="lowerRoman"/>
      <w:lvlText w:val="%6."/>
      <w:lvlJc w:val="right"/>
      <w:pPr>
        <w:ind w:left="3082" w:hanging="420"/>
      </w:pPr>
    </w:lvl>
    <w:lvl w:ilvl="6" w:tentative="0">
      <w:start w:val="1"/>
      <w:numFmt w:val="decimal"/>
      <w:lvlText w:val="%7."/>
      <w:lvlJc w:val="left"/>
      <w:pPr>
        <w:ind w:left="3502" w:hanging="420"/>
      </w:pPr>
    </w:lvl>
    <w:lvl w:ilvl="7" w:tentative="0">
      <w:start w:val="1"/>
      <w:numFmt w:val="lowerLetter"/>
      <w:lvlText w:val="%8)"/>
      <w:lvlJc w:val="left"/>
      <w:pPr>
        <w:ind w:left="3922" w:hanging="420"/>
      </w:pPr>
    </w:lvl>
    <w:lvl w:ilvl="8" w:tentative="0">
      <w:start w:val="1"/>
      <w:numFmt w:val="lowerRoman"/>
      <w:lvlText w:val="%9."/>
      <w:lvlJc w:val="right"/>
      <w:pPr>
        <w:ind w:left="4342" w:hanging="420"/>
      </w:pPr>
    </w:lvl>
  </w:abstractNum>
  <w:abstractNum w:abstractNumId="22">
    <w:nsid w:val="00000020"/>
    <w:multiLevelType w:val="multilevel"/>
    <w:tmpl w:val="00000020"/>
    <w:lvl w:ilvl="0" w:tentative="0">
      <w:start w:val="1"/>
      <w:numFmt w:val="decimal"/>
      <w:suff w:val="nothing"/>
      <w:lvlText w:val="11.%1"/>
      <w:lvlJc w:val="left"/>
      <w:pPr>
        <w:ind w:left="420" w:firstLine="0"/>
      </w:pPr>
      <w:rPr>
        <w:rFonts w:hint="eastAsia"/>
      </w:rPr>
    </w:lvl>
    <w:lvl w:ilvl="1" w:tentative="0">
      <w:start w:val="1"/>
      <w:numFmt w:val="decimal"/>
      <w:suff w:val="nothing"/>
      <w:lvlText w:val="11.%2"/>
      <w:lvlJc w:val="left"/>
      <w:pPr>
        <w:ind w:left="0" w:firstLine="0"/>
      </w:pPr>
      <w:rPr>
        <w:rFonts w:hint="eastAsia"/>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3">
    <w:nsid w:val="00000021"/>
    <w:multiLevelType w:val="multilevel"/>
    <w:tmpl w:val="00000021"/>
    <w:lvl w:ilvl="0" w:tentative="0">
      <w:start w:val="1"/>
      <w:numFmt w:val="decimal"/>
      <w:suff w:val="nothing"/>
      <w:lvlText w:val="5.%1"/>
      <w:lvlJc w:val="left"/>
      <w:pPr>
        <w:ind w:left="0" w:firstLine="0"/>
      </w:pPr>
      <w:rPr>
        <w:rFonts w:hint="eastAsia"/>
      </w:rPr>
    </w:lvl>
    <w:lvl w:ilvl="1" w:tentative="0">
      <w:start w:val="1"/>
      <w:numFmt w:val="decimal"/>
      <w:suff w:val="nothing"/>
      <w:lvlText w:val="5.%2"/>
      <w:lvlJc w:val="left"/>
      <w:pPr>
        <w:ind w:left="0" w:firstLine="0"/>
      </w:pPr>
      <w:rPr>
        <w:rFonts w:hint="eastAsia"/>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4">
    <w:nsid w:val="00000023"/>
    <w:multiLevelType w:val="multilevel"/>
    <w:tmpl w:val="00000023"/>
    <w:lvl w:ilvl="0" w:tentative="0">
      <w:start w:val="1"/>
      <w:numFmt w:val="decimal"/>
      <w:suff w:val="nothing"/>
      <w:lvlText w:val="25.%1"/>
      <w:lvlJc w:val="left"/>
      <w:pPr>
        <w:ind w:left="420" w:firstLine="0"/>
      </w:pPr>
      <w:rPr>
        <w:rFonts w:hint="default"/>
      </w:rPr>
    </w:lvl>
    <w:lvl w:ilvl="1" w:tentative="0">
      <w:start w:val="1"/>
      <w:numFmt w:val="decimal"/>
      <w:suff w:val="nothing"/>
      <w:lvlText w:val="25.%2"/>
      <w:lvlJc w:val="left"/>
      <w:pPr>
        <w:ind w:left="0" w:firstLine="0"/>
      </w:pPr>
      <w:rPr>
        <w:rFonts w:hint="default"/>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5">
    <w:nsid w:val="00000024"/>
    <w:multiLevelType w:val="multilevel"/>
    <w:tmpl w:val="00000024"/>
    <w:lvl w:ilvl="0" w:tentative="0">
      <w:start w:val="1"/>
      <w:numFmt w:val="decimal"/>
      <w:suff w:val="nothing"/>
      <w:lvlText w:val="17.%1"/>
      <w:lvlJc w:val="left"/>
      <w:pPr>
        <w:ind w:left="420" w:firstLine="0"/>
      </w:pPr>
      <w:rPr>
        <w:rFonts w:hint="eastAsia"/>
      </w:rPr>
    </w:lvl>
    <w:lvl w:ilvl="1" w:tentative="0">
      <w:start w:val="1"/>
      <w:numFmt w:val="decimal"/>
      <w:suff w:val="nothing"/>
      <w:lvlText w:val="17.%2"/>
      <w:lvlJc w:val="left"/>
      <w:pPr>
        <w:ind w:left="0" w:firstLine="0"/>
      </w:pPr>
      <w:rPr>
        <w:rFonts w:hint="eastAsia"/>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6">
    <w:nsid w:val="00000025"/>
    <w:multiLevelType w:val="multilevel"/>
    <w:tmpl w:val="00000025"/>
    <w:lvl w:ilvl="0" w:tentative="0">
      <w:start w:val="1"/>
      <w:numFmt w:val="decimal"/>
      <w:suff w:val="nothing"/>
      <w:lvlText w:val="（%1）"/>
      <w:lvlJc w:val="left"/>
      <w:pPr>
        <w:ind w:left="0" w:firstLine="0"/>
      </w:pPr>
      <w:rPr>
        <w:rFonts w:hint="default"/>
        <w:color w:val="auto"/>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00000027"/>
    <w:multiLevelType w:val="multilevel"/>
    <w:tmpl w:val="00000027"/>
    <w:lvl w:ilvl="0" w:tentative="0">
      <w:start w:val="1"/>
      <w:numFmt w:val="decimal"/>
      <w:suff w:val="nothing"/>
      <w:lvlText w:val="10.%1"/>
      <w:lvlJc w:val="left"/>
      <w:pPr>
        <w:ind w:left="420" w:firstLine="0"/>
      </w:pPr>
      <w:rPr>
        <w:rFonts w:hint="eastAsia"/>
      </w:rPr>
    </w:lvl>
    <w:lvl w:ilvl="1" w:tentative="0">
      <w:start w:val="1"/>
      <w:numFmt w:val="decimal"/>
      <w:suff w:val="nothing"/>
      <w:lvlText w:val="10.%2"/>
      <w:lvlJc w:val="left"/>
      <w:pPr>
        <w:ind w:left="0" w:firstLine="0"/>
      </w:pPr>
      <w:rPr>
        <w:rFonts w:hint="eastAsia"/>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00000028"/>
    <w:multiLevelType w:val="multilevel"/>
    <w:tmpl w:val="00000028"/>
    <w:lvl w:ilvl="0" w:tentative="0">
      <w:start w:val="1"/>
      <w:numFmt w:val="decimal"/>
      <w:suff w:val="nothing"/>
      <w:lvlText w:val="30.%1"/>
      <w:lvlJc w:val="left"/>
      <w:pPr>
        <w:ind w:left="420" w:firstLine="0"/>
      </w:pPr>
      <w:rPr>
        <w:rFonts w:hint="default"/>
        <w:color w:val="auto"/>
      </w:rPr>
    </w:lvl>
    <w:lvl w:ilvl="1" w:tentative="0">
      <w:start w:val="1"/>
      <w:numFmt w:val="decimal"/>
      <w:suff w:val="nothing"/>
      <w:lvlText w:val="30.%2"/>
      <w:lvlJc w:val="left"/>
      <w:pPr>
        <w:ind w:left="0" w:firstLine="0"/>
      </w:pPr>
      <w:rPr>
        <w:rFonts w:hint="default"/>
        <w:b w:val="0"/>
        <w:color w:val="auto"/>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9">
    <w:nsid w:val="00000029"/>
    <w:multiLevelType w:val="multilevel"/>
    <w:tmpl w:val="00000029"/>
    <w:lvl w:ilvl="0" w:tentative="0">
      <w:start w:val="1"/>
      <w:numFmt w:val="decimal"/>
      <w:lvlText w:val="%1."/>
      <w:lvlJc w:val="left"/>
      <w:pPr>
        <w:ind w:left="840" w:hanging="420"/>
      </w:pPr>
      <w:rPr>
        <w:rFonts w:hint="eastAsia"/>
      </w:rPr>
    </w:lvl>
    <w:lvl w:ilvl="1" w:tentative="0">
      <w:start w:val="1"/>
      <w:numFmt w:val="japaneseCounting"/>
      <w:lvlText w:val="（%2）"/>
      <w:lvlJc w:val="left"/>
      <w:pPr>
        <w:ind w:left="1725" w:hanging="885"/>
      </w:pPr>
      <w:rPr>
        <w:rFonts w:hint="default"/>
      </w:rPr>
    </w:lvl>
    <w:lvl w:ilvl="2" w:tentative="0">
      <w:start w:val="1"/>
      <w:numFmt w:val="decimal"/>
      <w:suff w:val="nothing"/>
      <w:lvlText w:val="%3."/>
      <w:lvlJc w:val="left"/>
      <w:pPr>
        <w:ind w:left="0" w:firstLine="0"/>
      </w:pPr>
      <w:rPr>
        <w:rFonts w:hint="eastAsia"/>
      </w:r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30">
    <w:nsid w:val="0000002B"/>
    <w:multiLevelType w:val="multilevel"/>
    <w:tmpl w:val="0000002B"/>
    <w:lvl w:ilvl="0" w:tentative="0">
      <w:start w:val="1"/>
      <w:numFmt w:val="chineseCountingThousand"/>
      <w:suff w:val="nothing"/>
      <w:lvlText w:val="%1、"/>
      <w:lvlJc w:val="left"/>
      <w:pPr>
        <w:ind w:left="0" w:firstLine="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31">
    <w:nsid w:val="0000002C"/>
    <w:multiLevelType w:val="multilevel"/>
    <w:tmpl w:val="0000002C"/>
    <w:lvl w:ilvl="0" w:tentative="0">
      <w:start w:val="1"/>
      <w:numFmt w:val="decimal"/>
      <w:suff w:val="nothing"/>
      <w:lvlText w:val="（%1）"/>
      <w:lvlJc w:val="left"/>
      <w:pPr>
        <w:ind w:left="0" w:firstLine="0"/>
      </w:pPr>
      <w:rPr>
        <w:rFonts w:hint="default"/>
        <w:color w:val="auto"/>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32">
    <w:nsid w:val="0000002E"/>
    <w:multiLevelType w:val="multilevel"/>
    <w:tmpl w:val="0000002E"/>
    <w:lvl w:ilvl="0" w:tentative="0">
      <w:start w:val="1"/>
      <w:numFmt w:val="japaneseCounting"/>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japaneseCounting"/>
      <w:lvlText w:val="%4、"/>
      <w:lvlJc w:val="left"/>
      <w:pPr>
        <w:ind w:left="0" w:firstLine="0"/>
      </w:pPr>
      <w:rPr>
        <w:rFonts w:hint="default"/>
      </w:r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3">
    <w:nsid w:val="0000002F"/>
    <w:multiLevelType w:val="multilevel"/>
    <w:tmpl w:val="0000002F"/>
    <w:lvl w:ilvl="0" w:tentative="0">
      <w:start w:val="1"/>
      <w:numFmt w:val="decimal"/>
      <w:suff w:val="nothing"/>
      <w:lvlText w:val="18.%1"/>
      <w:lvlJc w:val="left"/>
      <w:pPr>
        <w:ind w:left="420" w:firstLine="0"/>
      </w:pPr>
      <w:rPr>
        <w:rFonts w:hint="eastAsia"/>
      </w:rPr>
    </w:lvl>
    <w:lvl w:ilvl="1" w:tentative="0">
      <w:start w:val="1"/>
      <w:numFmt w:val="decimal"/>
      <w:suff w:val="nothing"/>
      <w:lvlText w:val="18.%2"/>
      <w:lvlJc w:val="left"/>
      <w:pPr>
        <w:ind w:left="0" w:firstLine="0"/>
      </w:pPr>
      <w:rPr>
        <w:rFonts w:hint="eastAsia"/>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4">
    <w:nsid w:val="00000030"/>
    <w:multiLevelType w:val="multilevel"/>
    <w:tmpl w:val="00000030"/>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decimal"/>
      <w:suff w:val="nothing"/>
      <w:lvlText w:val="%3."/>
      <w:lvlJc w:val="left"/>
      <w:pPr>
        <w:ind w:left="0" w:firstLine="0"/>
      </w:pPr>
      <w:rPr>
        <w:rFonts w:hint="eastAsia"/>
      </w:r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35">
    <w:nsid w:val="00000031"/>
    <w:multiLevelType w:val="multilevel"/>
    <w:tmpl w:val="00000031"/>
    <w:lvl w:ilvl="0" w:tentative="0">
      <w:start w:val="1"/>
      <w:numFmt w:val="chineseCountingThousand"/>
      <w:lvlText w:val="%1、"/>
      <w:lvlJc w:val="left"/>
      <w:pPr>
        <w:ind w:left="840" w:hanging="42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chineseCountingThousand"/>
      <w:suff w:val="nothing"/>
      <w:lvlText w:val="%4、"/>
      <w:lvlJc w:val="left"/>
      <w:pPr>
        <w:ind w:left="0" w:firstLine="0"/>
      </w:pPr>
      <w:rPr>
        <w:rFonts w:hint="default"/>
      </w:r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36">
    <w:nsid w:val="00000032"/>
    <w:multiLevelType w:val="multilevel"/>
    <w:tmpl w:val="00000032"/>
    <w:lvl w:ilvl="0" w:tentative="0">
      <w:start w:val="1"/>
      <w:numFmt w:val="decimal"/>
      <w:suff w:val="nothing"/>
      <w:lvlText w:val="22.%1"/>
      <w:lvlJc w:val="left"/>
      <w:pPr>
        <w:ind w:left="420" w:firstLine="0"/>
      </w:pPr>
      <w:rPr>
        <w:rFonts w:hint="eastAsia"/>
      </w:rPr>
    </w:lvl>
    <w:lvl w:ilvl="1" w:tentative="0">
      <w:start w:val="1"/>
      <w:numFmt w:val="decimal"/>
      <w:suff w:val="nothing"/>
      <w:lvlText w:val="22.%2"/>
      <w:lvlJc w:val="left"/>
      <w:pPr>
        <w:ind w:left="0" w:firstLine="0"/>
      </w:pPr>
      <w:rPr>
        <w:rFonts w:hint="eastAsia"/>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7">
    <w:nsid w:val="00000033"/>
    <w:multiLevelType w:val="multilevel"/>
    <w:tmpl w:val="00000033"/>
    <w:lvl w:ilvl="0" w:tentative="0">
      <w:start w:val="1"/>
      <w:numFmt w:val="decimal"/>
      <w:suff w:val="nothing"/>
      <w:lvlText w:val="20.2.%1"/>
      <w:lvlJc w:val="left"/>
      <w:pPr>
        <w:ind w:left="0" w:firstLine="0"/>
      </w:pPr>
      <w:rPr>
        <w:rFonts w:hint="eastAsia"/>
      </w:rPr>
    </w:lvl>
    <w:lvl w:ilvl="1" w:tentative="0">
      <w:start w:val="1"/>
      <w:numFmt w:val="lowerLetter"/>
      <w:lvlText w:val="%2)"/>
      <w:lvlJc w:val="left"/>
      <w:pPr>
        <w:ind w:left="840" w:hanging="420"/>
      </w:pPr>
    </w:lvl>
    <w:lvl w:ilvl="2" w:tentative="0">
      <w:start w:val="1"/>
      <w:numFmt w:val="decimal"/>
      <w:suff w:val="nothing"/>
      <w:lvlText w:val="20.2.%3"/>
      <w:lvlJc w:val="left"/>
      <w:pPr>
        <w:ind w:left="0" w:firstLine="0"/>
      </w:pPr>
      <w:rPr>
        <w:rFonts w:hint="eastAsia"/>
      </w:r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8">
    <w:nsid w:val="00000034"/>
    <w:multiLevelType w:val="multilevel"/>
    <w:tmpl w:val="00000034"/>
    <w:lvl w:ilvl="0" w:tentative="0">
      <w:start w:val="1"/>
      <w:numFmt w:val="decimal"/>
      <w:suff w:val="nothing"/>
      <w:lvlText w:val="19.%1"/>
      <w:lvlJc w:val="left"/>
      <w:pPr>
        <w:ind w:left="420" w:firstLine="0"/>
      </w:pPr>
      <w:rPr>
        <w:rFonts w:hint="eastAsia"/>
      </w:rPr>
    </w:lvl>
    <w:lvl w:ilvl="1" w:tentative="0">
      <w:start w:val="1"/>
      <w:numFmt w:val="decimal"/>
      <w:suff w:val="nothing"/>
      <w:lvlText w:val="19.%2"/>
      <w:lvlJc w:val="left"/>
      <w:pPr>
        <w:ind w:left="0" w:firstLine="0"/>
      </w:pPr>
      <w:rPr>
        <w:rFonts w:hint="eastAsia"/>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9">
    <w:nsid w:val="00000035"/>
    <w:multiLevelType w:val="multilevel"/>
    <w:tmpl w:val="00000035"/>
    <w:lvl w:ilvl="0" w:tentative="0">
      <w:start w:val="1"/>
      <w:numFmt w:val="decimal"/>
      <w:suff w:val="nothing"/>
      <w:lvlText w:val="33.%1"/>
      <w:lvlJc w:val="left"/>
      <w:pPr>
        <w:ind w:left="420" w:firstLine="0"/>
      </w:pPr>
      <w:rPr>
        <w:rFonts w:hint="default"/>
      </w:rPr>
    </w:lvl>
    <w:lvl w:ilvl="1" w:tentative="0">
      <w:start w:val="1"/>
      <w:numFmt w:val="decimal"/>
      <w:suff w:val="nothing"/>
      <w:lvlText w:val="33.%2"/>
      <w:lvlJc w:val="left"/>
      <w:pPr>
        <w:ind w:left="0" w:firstLine="0"/>
      </w:pPr>
      <w:rPr>
        <w:rFonts w:hint="default"/>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0">
    <w:nsid w:val="00000036"/>
    <w:multiLevelType w:val="singleLevel"/>
    <w:tmpl w:val="00000036"/>
    <w:lvl w:ilvl="0" w:tentative="0">
      <w:start w:val="1"/>
      <w:numFmt w:val="decimal"/>
      <w:suff w:val="nothing"/>
      <w:lvlText w:val="%1."/>
      <w:lvlJc w:val="left"/>
    </w:lvl>
  </w:abstractNum>
  <w:abstractNum w:abstractNumId="41">
    <w:nsid w:val="00000038"/>
    <w:multiLevelType w:val="multilevel"/>
    <w:tmpl w:val="00000038"/>
    <w:lvl w:ilvl="0" w:tentative="0">
      <w:start w:val="1"/>
      <w:numFmt w:val="decimal"/>
      <w:suff w:val="nothing"/>
      <w:lvlText w:val="%1"/>
      <w:lvlJc w:val="left"/>
      <w:pPr>
        <w:ind w:left="0" w:firstLine="0"/>
      </w:pPr>
      <w:rPr>
        <w:rFonts w:hint="eastAsia"/>
      </w:rPr>
    </w:lvl>
    <w:lvl w:ilvl="1" w:tentative="0">
      <w:start w:val="1"/>
      <w:numFmt w:val="decimal"/>
      <w:lvlText w:val="%2."/>
      <w:lvlJc w:val="left"/>
      <w:pPr>
        <w:ind w:left="1050" w:hanging="630"/>
      </w:pPr>
      <w:rPr>
        <w:rFonts w:hint="default"/>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2">
    <w:nsid w:val="00000039"/>
    <w:multiLevelType w:val="multilevel"/>
    <w:tmpl w:val="00000039"/>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decimal"/>
      <w:suff w:val="nothing"/>
      <w:lvlText w:val="%3."/>
      <w:lvlJc w:val="left"/>
      <w:pPr>
        <w:ind w:left="0" w:firstLine="0"/>
      </w:pPr>
      <w:rPr>
        <w:rFonts w:hint="eastAsia"/>
      </w:r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43">
    <w:nsid w:val="0000003A"/>
    <w:multiLevelType w:val="multilevel"/>
    <w:tmpl w:val="0000003A"/>
    <w:lvl w:ilvl="0" w:tentative="0">
      <w:start w:val="1"/>
      <w:numFmt w:val="decimal"/>
      <w:suff w:val="nothing"/>
      <w:lvlText w:val="28.%1"/>
      <w:lvlJc w:val="left"/>
      <w:pPr>
        <w:ind w:left="525" w:firstLine="0"/>
      </w:pPr>
      <w:rPr>
        <w:rFonts w:hint="default"/>
        <w:color w:val="auto"/>
      </w:rPr>
    </w:lvl>
    <w:lvl w:ilvl="1" w:tentative="0">
      <w:start w:val="1"/>
      <w:numFmt w:val="decimal"/>
      <w:suff w:val="nothing"/>
      <w:lvlText w:val="28.%2"/>
      <w:lvlJc w:val="left"/>
      <w:pPr>
        <w:ind w:left="0" w:firstLine="0"/>
      </w:pPr>
      <w:rPr>
        <w:rFonts w:hint="default"/>
        <w:color w:val="auto"/>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4">
    <w:nsid w:val="0000003B"/>
    <w:multiLevelType w:val="multilevel"/>
    <w:tmpl w:val="0000003B"/>
    <w:lvl w:ilvl="0" w:tentative="0">
      <w:start w:val="1"/>
      <w:numFmt w:val="decimal"/>
      <w:suff w:val="nothing"/>
      <w:lvlText w:val="32.%1"/>
      <w:lvlJc w:val="left"/>
      <w:pPr>
        <w:ind w:left="420" w:firstLine="0"/>
      </w:pPr>
      <w:rPr>
        <w:rFonts w:hint="default"/>
      </w:rPr>
    </w:lvl>
    <w:lvl w:ilvl="1" w:tentative="0">
      <w:start w:val="1"/>
      <w:numFmt w:val="decimal"/>
      <w:suff w:val="nothing"/>
      <w:lvlText w:val="32.%2"/>
      <w:lvlJc w:val="left"/>
      <w:pPr>
        <w:ind w:left="0" w:firstLine="0"/>
      </w:pPr>
      <w:rPr>
        <w:rFonts w:hint="default"/>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5">
    <w:nsid w:val="0000003D"/>
    <w:multiLevelType w:val="multilevel"/>
    <w:tmpl w:val="0000003D"/>
    <w:lvl w:ilvl="0" w:tentative="0">
      <w:start w:val="1"/>
      <w:numFmt w:val="decimal"/>
      <w:suff w:val="nothing"/>
      <w:lvlText w:val="8.%1"/>
      <w:lvlJc w:val="left"/>
      <w:pPr>
        <w:ind w:left="0" w:firstLine="0"/>
      </w:pPr>
      <w:rPr>
        <w:rFonts w:hint="eastAsia"/>
      </w:rPr>
    </w:lvl>
    <w:lvl w:ilvl="1" w:tentative="0">
      <w:start w:val="1"/>
      <w:numFmt w:val="decimal"/>
      <w:suff w:val="nothing"/>
      <w:lvlText w:val="8.%2"/>
      <w:lvlJc w:val="left"/>
      <w:pPr>
        <w:ind w:left="0" w:firstLine="0"/>
      </w:pPr>
      <w:rPr>
        <w:rFonts w:hint="eastAsia"/>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6">
    <w:nsid w:val="0000003E"/>
    <w:multiLevelType w:val="multilevel"/>
    <w:tmpl w:val="0000003E"/>
    <w:lvl w:ilvl="0" w:tentative="0">
      <w:start w:val="1"/>
      <w:numFmt w:val="decimal"/>
      <w:suff w:val="nothing"/>
      <w:lvlText w:val="%1."/>
      <w:lvlJc w:val="left"/>
      <w:pPr>
        <w:ind w:left="0" w:firstLine="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47">
    <w:nsid w:val="0000003F"/>
    <w:multiLevelType w:val="multilevel"/>
    <w:tmpl w:val="0000003F"/>
    <w:lvl w:ilvl="0" w:tentative="0">
      <w:start w:val="1"/>
      <w:numFmt w:val="decimal"/>
      <w:lvlText w:val="21.%1"/>
      <w:lvlJc w:val="left"/>
      <w:pPr>
        <w:ind w:left="840" w:hanging="420"/>
      </w:pPr>
      <w:rPr>
        <w:rFonts w:hint="eastAsia"/>
      </w:rPr>
    </w:lvl>
    <w:lvl w:ilvl="1" w:tentative="0">
      <w:start w:val="1"/>
      <w:numFmt w:val="decimal"/>
      <w:suff w:val="nothing"/>
      <w:lvlText w:val="21.%2"/>
      <w:lvlJc w:val="left"/>
      <w:pPr>
        <w:ind w:left="0" w:firstLine="0"/>
      </w:pPr>
      <w:rPr>
        <w:rFonts w:hint="eastAsia"/>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8">
    <w:nsid w:val="00000040"/>
    <w:multiLevelType w:val="multilevel"/>
    <w:tmpl w:val="00000040"/>
    <w:lvl w:ilvl="0" w:tentative="0">
      <w:start w:val="1"/>
      <w:numFmt w:val="decimal"/>
      <w:suff w:val="nothing"/>
      <w:lvlText w:val="（%1）"/>
      <w:lvlJc w:val="left"/>
      <w:pPr>
        <w:ind w:left="0" w:firstLine="0"/>
      </w:pPr>
      <w:rPr>
        <w:rFonts w:hint="default"/>
      </w:rPr>
    </w:lvl>
    <w:lvl w:ilvl="1" w:tentative="0">
      <w:start w:val="1"/>
      <w:numFmt w:val="lowerLetter"/>
      <w:lvlText w:val="%2)"/>
      <w:lvlJc w:val="left"/>
      <w:pPr>
        <w:ind w:left="1264" w:hanging="420"/>
      </w:pPr>
    </w:lvl>
    <w:lvl w:ilvl="2" w:tentative="0">
      <w:start w:val="1"/>
      <w:numFmt w:val="lowerRoman"/>
      <w:lvlText w:val="%3."/>
      <w:lvlJc w:val="right"/>
      <w:pPr>
        <w:ind w:left="1684" w:hanging="420"/>
      </w:pPr>
    </w:lvl>
    <w:lvl w:ilvl="3" w:tentative="0">
      <w:start w:val="1"/>
      <w:numFmt w:val="decimal"/>
      <w:lvlText w:val="%4."/>
      <w:lvlJc w:val="left"/>
      <w:pPr>
        <w:ind w:left="2104" w:hanging="420"/>
      </w:pPr>
    </w:lvl>
    <w:lvl w:ilvl="4" w:tentative="0">
      <w:start w:val="1"/>
      <w:numFmt w:val="lowerLetter"/>
      <w:lvlText w:val="%5)"/>
      <w:lvlJc w:val="left"/>
      <w:pPr>
        <w:ind w:left="2524" w:hanging="420"/>
      </w:pPr>
    </w:lvl>
    <w:lvl w:ilvl="5" w:tentative="0">
      <w:start w:val="1"/>
      <w:numFmt w:val="lowerRoman"/>
      <w:lvlText w:val="%6."/>
      <w:lvlJc w:val="right"/>
      <w:pPr>
        <w:ind w:left="2944" w:hanging="420"/>
      </w:pPr>
    </w:lvl>
    <w:lvl w:ilvl="6" w:tentative="0">
      <w:start w:val="1"/>
      <w:numFmt w:val="decimal"/>
      <w:lvlText w:val="%7."/>
      <w:lvlJc w:val="left"/>
      <w:pPr>
        <w:ind w:left="3364" w:hanging="420"/>
      </w:pPr>
    </w:lvl>
    <w:lvl w:ilvl="7" w:tentative="0">
      <w:start w:val="1"/>
      <w:numFmt w:val="lowerLetter"/>
      <w:lvlText w:val="%8)"/>
      <w:lvlJc w:val="left"/>
      <w:pPr>
        <w:ind w:left="3784" w:hanging="420"/>
      </w:pPr>
    </w:lvl>
    <w:lvl w:ilvl="8" w:tentative="0">
      <w:start w:val="1"/>
      <w:numFmt w:val="lowerRoman"/>
      <w:lvlText w:val="%9."/>
      <w:lvlJc w:val="right"/>
      <w:pPr>
        <w:ind w:left="4204" w:hanging="420"/>
      </w:pPr>
    </w:lvl>
  </w:abstractNum>
  <w:abstractNum w:abstractNumId="49">
    <w:nsid w:val="00000041"/>
    <w:multiLevelType w:val="singleLevel"/>
    <w:tmpl w:val="00000041"/>
    <w:lvl w:ilvl="0" w:tentative="0">
      <w:start w:val="1"/>
      <w:numFmt w:val="decimal"/>
      <w:suff w:val="nothing"/>
      <w:lvlText w:val="%1."/>
      <w:lvlJc w:val="left"/>
    </w:lvl>
  </w:abstractNum>
  <w:abstractNum w:abstractNumId="50">
    <w:nsid w:val="0053208E"/>
    <w:multiLevelType w:val="multilevel"/>
    <w:tmpl w:val="0053208E"/>
    <w:lvl w:ilvl="0" w:tentative="0">
      <w:start w:val="1"/>
      <w:numFmt w:val="decimal"/>
      <w:lvlText w:val="%1."/>
      <w:lvlJc w:val="left"/>
      <w:pPr>
        <w:ind w:left="789" w:hanging="420"/>
      </w:pPr>
      <w:rPr>
        <w:rFonts w:hint="eastAsia"/>
      </w:rPr>
    </w:lvl>
    <w:lvl w:ilvl="1" w:tentative="0">
      <w:start w:val="1"/>
      <w:numFmt w:val="decimal"/>
      <w:suff w:val="nothing"/>
      <w:lvlText w:val="%2."/>
      <w:lvlJc w:val="left"/>
      <w:pPr>
        <w:ind w:left="0" w:firstLine="0"/>
      </w:pPr>
      <w:rPr>
        <w:rFonts w:hint="eastAsia"/>
      </w:rPr>
    </w:lvl>
    <w:lvl w:ilvl="2" w:tentative="0">
      <w:start w:val="1"/>
      <w:numFmt w:val="lowerRoman"/>
      <w:lvlText w:val="%3."/>
      <w:lvlJc w:val="right"/>
      <w:pPr>
        <w:ind w:left="1629" w:hanging="420"/>
      </w:pPr>
    </w:lvl>
    <w:lvl w:ilvl="3" w:tentative="0">
      <w:start w:val="1"/>
      <w:numFmt w:val="decimal"/>
      <w:lvlText w:val="%4."/>
      <w:lvlJc w:val="left"/>
      <w:pPr>
        <w:ind w:left="2049" w:hanging="420"/>
      </w:pPr>
    </w:lvl>
    <w:lvl w:ilvl="4" w:tentative="0">
      <w:start w:val="1"/>
      <w:numFmt w:val="lowerLetter"/>
      <w:lvlText w:val="%5)"/>
      <w:lvlJc w:val="left"/>
      <w:pPr>
        <w:ind w:left="2469" w:hanging="420"/>
      </w:pPr>
    </w:lvl>
    <w:lvl w:ilvl="5" w:tentative="0">
      <w:start w:val="1"/>
      <w:numFmt w:val="lowerRoman"/>
      <w:lvlText w:val="%6."/>
      <w:lvlJc w:val="right"/>
      <w:pPr>
        <w:ind w:left="2889" w:hanging="420"/>
      </w:pPr>
    </w:lvl>
    <w:lvl w:ilvl="6" w:tentative="0">
      <w:start w:val="1"/>
      <w:numFmt w:val="decimal"/>
      <w:lvlText w:val="%7."/>
      <w:lvlJc w:val="left"/>
      <w:pPr>
        <w:ind w:left="3309" w:hanging="420"/>
      </w:pPr>
    </w:lvl>
    <w:lvl w:ilvl="7" w:tentative="0">
      <w:start w:val="1"/>
      <w:numFmt w:val="lowerLetter"/>
      <w:lvlText w:val="%8)"/>
      <w:lvlJc w:val="left"/>
      <w:pPr>
        <w:ind w:left="3729" w:hanging="420"/>
      </w:pPr>
    </w:lvl>
    <w:lvl w:ilvl="8" w:tentative="0">
      <w:start w:val="1"/>
      <w:numFmt w:val="lowerRoman"/>
      <w:lvlText w:val="%9."/>
      <w:lvlJc w:val="right"/>
      <w:pPr>
        <w:ind w:left="4149" w:hanging="420"/>
      </w:pPr>
    </w:lvl>
  </w:abstractNum>
  <w:num w:numId="1">
    <w:abstractNumId w:val="6"/>
  </w:num>
  <w:num w:numId="2">
    <w:abstractNumId w:val="9"/>
  </w:num>
  <w:num w:numId="3">
    <w:abstractNumId w:val="30"/>
  </w:num>
  <w:num w:numId="4">
    <w:abstractNumId w:val="3"/>
  </w:num>
  <w:num w:numId="5">
    <w:abstractNumId w:val="46"/>
  </w:num>
  <w:num w:numId="6">
    <w:abstractNumId w:val="41"/>
  </w:num>
  <w:num w:numId="7">
    <w:abstractNumId w:val="14"/>
  </w:num>
  <w:num w:numId="8">
    <w:abstractNumId w:val="40"/>
  </w:num>
  <w:num w:numId="9">
    <w:abstractNumId w:val="7"/>
  </w:num>
  <w:num w:numId="10">
    <w:abstractNumId w:val="0"/>
  </w:num>
  <w:num w:numId="11">
    <w:abstractNumId w:val="50"/>
  </w:num>
  <w:num w:numId="12">
    <w:abstractNumId w:val="5"/>
  </w:num>
  <w:num w:numId="13">
    <w:abstractNumId w:val="1"/>
  </w:num>
  <w:num w:numId="14">
    <w:abstractNumId w:val="23"/>
  </w:num>
  <w:num w:numId="15">
    <w:abstractNumId w:val="45"/>
  </w:num>
  <w:num w:numId="16">
    <w:abstractNumId w:val="27"/>
  </w:num>
  <w:num w:numId="17">
    <w:abstractNumId w:val="22"/>
  </w:num>
  <w:num w:numId="18">
    <w:abstractNumId w:val="12"/>
  </w:num>
  <w:num w:numId="19">
    <w:abstractNumId w:val="15"/>
  </w:num>
  <w:num w:numId="20">
    <w:abstractNumId w:val="25"/>
  </w:num>
  <w:num w:numId="21">
    <w:abstractNumId w:val="33"/>
  </w:num>
  <w:num w:numId="22">
    <w:abstractNumId w:val="38"/>
  </w:num>
  <w:num w:numId="23">
    <w:abstractNumId w:val="13"/>
  </w:num>
  <w:num w:numId="24">
    <w:abstractNumId w:val="37"/>
  </w:num>
  <w:num w:numId="25">
    <w:abstractNumId w:val="47"/>
  </w:num>
  <w:num w:numId="26">
    <w:abstractNumId w:val="36"/>
  </w:num>
  <w:num w:numId="27">
    <w:abstractNumId w:val="19"/>
  </w:num>
  <w:num w:numId="28">
    <w:abstractNumId w:val="24"/>
  </w:num>
  <w:num w:numId="29">
    <w:abstractNumId w:val="26"/>
  </w:num>
  <w:num w:numId="30">
    <w:abstractNumId w:val="31"/>
  </w:num>
  <w:num w:numId="31">
    <w:abstractNumId w:val="16"/>
  </w:num>
  <w:num w:numId="32">
    <w:abstractNumId w:val="43"/>
  </w:num>
  <w:num w:numId="33">
    <w:abstractNumId w:val="20"/>
  </w:num>
  <w:num w:numId="34">
    <w:abstractNumId w:val="28"/>
  </w:num>
  <w:num w:numId="35">
    <w:abstractNumId w:val="17"/>
  </w:num>
  <w:num w:numId="36">
    <w:abstractNumId w:val="44"/>
  </w:num>
  <w:num w:numId="37">
    <w:abstractNumId w:val="39"/>
  </w:num>
  <w:num w:numId="38">
    <w:abstractNumId w:val="8"/>
  </w:num>
  <w:num w:numId="39">
    <w:abstractNumId w:val="4"/>
  </w:num>
  <w:num w:numId="40">
    <w:abstractNumId w:val="32"/>
  </w:num>
  <w:num w:numId="41">
    <w:abstractNumId w:val="34"/>
  </w:num>
  <w:num w:numId="42">
    <w:abstractNumId w:val="29"/>
  </w:num>
  <w:num w:numId="43">
    <w:abstractNumId w:val="21"/>
  </w:num>
  <w:num w:numId="44">
    <w:abstractNumId w:val="2"/>
  </w:num>
  <w:num w:numId="45">
    <w:abstractNumId w:val="48"/>
  </w:num>
  <w:num w:numId="46">
    <w:abstractNumId w:val="42"/>
  </w:num>
  <w:num w:numId="47">
    <w:abstractNumId w:val="11"/>
  </w:num>
  <w:num w:numId="48">
    <w:abstractNumId w:val="10"/>
  </w:num>
  <w:num w:numId="49">
    <w:abstractNumId w:val="35"/>
  </w:num>
  <w:num w:numId="50">
    <w:abstractNumId w:val="49"/>
  </w:num>
  <w:num w:numId="5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oNotShadeFormData w:val="1"/>
  <w:noPunctuationKerning w:val="1"/>
  <w:characterSpacingControl w:val="compressPunctuation"/>
  <w:doNotValidateAgainstSchema/>
  <w:doNotDemarcateInvalidXml/>
  <w:hdrShapeDefaults>
    <o:shapelayout v:ext="edit">
      <o:idmap v:ext="edit" data="3,4"/>
    </o:shapelayout>
  </w:hdrShapeDefaults>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172A27"/>
    <w:rsid w:val="0001104D"/>
    <w:rsid w:val="000A26B8"/>
    <w:rsid w:val="000F1976"/>
    <w:rsid w:val="001122C7"/>
    <w:rsid w:val="00165EB6"/>
    <w:rsid w:val="00172A27"/>
    <w:rsid w:val="0019121B"/>
    <w:rsid w:val="00194330"/>
    <w:rsid w:val="001E763C"/>
    <w:rsid w:val="00207293"/>
    <w:rsid w:val="00235DC4"/>
    <w:rsid w:val="002B1409"/>
    <w:rsid w:val="002C3FEC"/>
    <w:rsid w:val="004723D6"/>
    <w:rsid w:val="004B5F36"/>
    <w:rsid w:val="004F16CC"/>
    <w:rsid w:val="004F4A2A"/>
    <w:rsid w:val="0051189A"/>
    <w:rsid w:val="00601F46"/>
    <w:rsid w:val="0074607B"/>
    <w:rsid w:val="007E283D"/>
    <w:rsid w:val="008A566D"/>
    <w:rsid w:val="008C2EA6"/>
    <w:rsid w:val="00900D41"/>
    <w:rsid w:val="00903285"/>
    <w:rsid w:val="009328C6"/>
    <w:rsid w:val="00954600"/>
    <w:rsid w:val="009546B3"/>
    <w:rsid w:val="00973673"/>
    <w:rsid w:val="00993EEF"/>
    <w:rsid w:val="009E1762"/>
    <w:rsid w:val="00A277E5"/>
    <w:rsid w:val="00A6212E"/>
    <w:rsid w:val="00B009E5"/>
    <w:rsid w:val="00B976A5"/>
    <w:rsid w:val="00CE7E67"/>
    <w:rsid w:val="00D212AA"/>
    <w:rsid w:val="00D40046"/>
    <w:rsid w:val="00D43E2C"/>
    <w:rsid w:val="00D53578"/>
    <w:rsid w:val="00D704A5"/>
    <w:rsid w:val="00D97F52"/>
    <w:rsid w:val="00EB07A1"/>
    <w:rsid w:val="00ED2586"/>
    <w:rsid w:val="00EE5A22"/>
    <w:rsid w:val="00F8457B"/>
    <w:rsid w:val="00FC6613"/>
    <w:rsid w:val="01182B30"/>
    <w:rsid w:val="015C71A0"/>
    <w:rsid w:val="01DC017E"/>
    <w:rsid w:val="020F6213"/>
    <w:rsid w:val="032B32F0"/>
    <w:rsid w:val="03DA52E3"/>
    <w:rsid w:val="049773B9"/>
    <w:rsid w:val="04AC5872"/>
    <w:rsid w:val="05BD5C95"/>
    <w:rsid w:val="05C54418"/>
    <w:rsid w:val="064C5E9A"/>
    <w:rsid w:val="065D54F8"/>
    <w:rsid w:val="06715677"/>
    <w:rsid w:val="06942DA7"/>
    <w:rsid w:val="06DF5CA7"/>
    <w:rsid w:val="07370EE8"/>
    <w:rsid w:val="073B0948"/>
    <w:rsid w:val="07D92A68"/>
    <w:rsid w:val="08401A45"/>
    <w:rsid w:val="08A9017A"/>
    <w:rsid w:val="09A60D58"/>
    <w:rsid w:val="0CA020BF"/>
    <w:rsid w:val="0D576016"/>
    <w:rsid w:val="0D856A18"/>
    <w:rsid w:val="0EE2762E"/>
    <w:rsid w:val="0F37320C"/>
    <w:rsid w:val="0FCC6B5D"/>
    <w:rsid w:val="102C08DE"/>
    <w:rsid w:val="10D574A7"/>
    <w:rsid w:val="11E0351A"/>
    <w:rsid w:val="1217011E"/>
    <w:rsid w:val="12530A37"/>
    <w:rsid w:val="137F4357"/>
    <w:rsid w:val="14123839"/>
    <w:rsid w:val="146A4BD4"/>
    <w:rsid w:val="157A41D4"/>
    <w:rsid w:val="15C14AEE"/>
    <w:rsid w:val="16AD18C5"/>
    <w:rsid w:val="16DD3ACE"/>
    <w:rsid w:val="170C3560"/>
    <w:rsid w:val="174E6CF3"/>
    <w:rsid w:val="17A5585C"/>
    <w:rsid w:val="17DF4885"/>
    <w:rsid w:val="17F5521B"/>
    <w:rsid w:val="1813033C"/>
    <w:rsid w:val="181A15B3"/>
    <w:rsid w:val="195617F4"/>
    <w:rsid w:val="19675A21"/>
    <w:rsid w:val="1A621F5F"/>
    <w:rsid w:val="1A6A4036"/>
    <w:rsid w:val="1B6A3C5F"/>
    <w:rsid w:val="1C4C00D4"/>
    <w:rsid w:val="1C641031"/>
    <w:rsid w:val="1C971877"/>
    <w:rsid w:val="1CB667C4"/>
    <w:rsid w:val="1D142F43"/>
    <w:rsid w:val="1D244030"/>
    <w:rsid w:val="1D5C3435"/>
    <w:rsid w:val="1DE0645B"/>
    <w:rsid w:val="1EB54DED"/>
    <w:rsid w:val="1F677E2C"/>
    <w:rsid w:val="1FE137EB"/>
    <w:rsid w:val="2069261D"/>
    <w:rsid w:val="21F06CEF"/>
    <w:rsid w:val="23005AE8"/>
    <w:rsid w:val="231C7A58"/>
    <w:rsid w:val="23A12DA0"/>
    <w:rsid w:val="24BF2631"/>
    <w:rsid w:val="256B36E3"/>
    <w:rsid w:val="257F47E2"/>
    <w:rsid w:val="25A81A8B"/>
    <w:rsid w:val="25C4165F"/>
    <w:rsid w:val="26406E2C"/>
    <w:rsid w:val="26C53485"/>
    <w:rsid w:val="2A0408C1"/>
    <w:rsid w:val="2A233DA3"/>
    <w:rsid w:val="2A252BA7"/>
    <w:rsid w:val="2A9A315C"/>
    <w:rsid w:val="2ACE78C6"/>
    <w:rsid w:val="2BB8295E"/>
    <w:rsid w:val="2C0B0004"/>
    <w:rsid w:val="2C1E40A1"/>
    <w:rsid w:val="2C59662D"/>
    <w:rsid w:val="2C7A5C26"/>
    <w:rsid w:val="2C9944FA"/>
    <w:rsid w:val="2CB81328"/>
    <w:rsid w:val="2CD73DF5"/>
    <w:rsid w:val="2D42257A"/>
    <w:rsid w:val="2D7F3EDC"/>
    <w:rsid w:val="2D876D9D"/>
    <w:rsid w:val="2E570079"/>
    <w:rsid w:val="2EB10715"/>
    <w:rsid w:val="2ED77754"/>
    <w:rsid w:val="2EEF1E4B"/>
    <w:rsid w:val="2F2A379F"/>
    <w:rsid w:val="2F583BF4"/>
    <w:rsid w:val="30C2075C"/>
    <w:rsid w:val="310B0897"/>
    <w:rsid w:val="312A4765"/>
    <w:rsid w:val="3175257C"/>
    <w:rsid w:val="326B2126"/>
    <w:rsid w:val="349D4979"/>
    <w:rsid w:val="34B15566"/>
    <w:rsid w:val="355D7922"/>
    <w:rsid w:val="36C45BF4"/>
    <w:rsid w:val="371D63E9"/>
    <w:rsid w:val="37DD0616"/>
    <w:rsid w:val="37DD0FAB"/>
    <w:rsid w:val="383F4124"/>
    <w:rsid w:val="38B86EF1"/>
    <w:rsid w:val="392D73D5"/>
    <w:rsid w:val="396335C8"/>
    <w:rsid w:val="3974793E"/>
    <w:rsid w:val="399E5403"/>
    <w:rsid w:val="3B76019F"/>
    <w:rsid w:val="3BA95071"/>
    <w:rsid w:val="3C1B28E5"/>
    <w:rsid w:val="3C651F83"/>
    <w:rsid w:val="3CE0532D"/>
    <w:rsid w:val="3DF5300C"/>
    <w:rsid w:val="3E12676C"/>
    <w:rsid w:val="3E2D037C"/>
    <w:rsid w:val="3E457532"/>
    <w:rsid w:val="3F31767D"/>
    <w:rsid w:val="3F375E61"/>
    <w:rsid w:val="3F5A5EBE"/>
    <w:rsid w:val="40FC5CC6"/>
    <w:rsid w:val="41EB6EB9"/>
    <w:rsid w:val="420771DE"/>
    <w:rsid w:val="422B1C24"/>
    <w:rsid w:val="424D38F8"/>
    <w:rsid w:val="42C06B24"/>
    <w:rsid w:val="43E6546A"/>
    <w:rsid w:val="44061440"/>
    <w:rsid w:val="44744422"/>
    <w:rsid w:val="44B90788"/>
    <w:rsid w:val="44E31943"/>
    <w:rsid w:val="451E51E4"/>
    <w:rsid w:val="456952E3"/>
    <w:rsid w:val="467F09A5"/>
    <w:rsid w:val="46C23173"/>
    <w:rsid w:val="477421F1"/>
    <w:rsid w:val="47AF31EE"/>
    <w:rsid w:val="48235062"/>
    <w:rsid w:val="48462D14"/>
    <w:rsid w:val="48E66AE1"/>
    <w:rsid w:val="49BB47B3"/>
    <w:rsid w:val="49D76AC5"/>
    <w:rsid w:val="4A4F6EE1"/>
    <w:rsid w:val="4C6709CF"/>
    <w:rsid w:val="4D933522"/>
    <w:rsid w:val="4E640FC7"/>
    <w:rsid w:val="4F6E1F59"/>
    <w:rsid w:val="4F775D96"/>
    <w:rsid w:val="4FA21CC8"/>
    <w:rsid w:val="4FFE121B"/>
    <w:rsid w:val="50C57385"/>
    <w:rsid w:val="51D77F8F"/>
    <w:rsid w:val="52367719"/>
    <w:rsid w:val="52794544"/>
    <w:rsid w:val="528C56BB"/>
    <w:rsid w:val="52B90036"/>
    <w:rsid w:val="535D1E64"/>
    <w:rsid w:val="53994265"/>
    <w:rsid w:val="539C0008"/>
    <w:rsid w:val="53C5233C"/>
    <w:rsid w:val="53EA365D"/>
    <w:rsid w:val="54981EFC"/>
    <w:rsid w:val="54B23834"/>
    <w:rsid w:val="55480433"/>
    <w:rsid w:val="554C4D68"/>
    <w:rsid w:val="55745B21"/>
    <w:rsid w:val="5578715B"/>
    <w:rsid w:val="55B47153"/>
    <w:rsid w:val="55CE4116"/>
    <w:rsid w:val="567B1DAA"/>
    <w:rsid w:val="57144526"/>
    <w:rsid w:val="586417D6"/>
    <w:rsid w:val="58A85696"/>
    <w:rsid w:val="58C62154"/>
    <w:rsid w:val="58EA135D"/>
    <w:rsid w:val="59950CC4"/>
    <w:rsid w:val="59C83C85"/>
    <w:rsid w:val="5A342849"/>
    <w:rsid w:val="5A496361"/>
    <w:rsid w:val="5B5478E6"/>
    <w:rsid w:val="5C3E2075"/>
    <w:rsid w:val="5D6C205A"/>
    <w:rsid w:val="5DE56BA0"/>
    <w:rsid w:val="5E7E5331"/>
    <w:rsid w:val="5E8E7B90"/>
    <w:rsid w:val="5EA2618C"/>
    <w:rsid w:val="5F1C5E58"/>
    <w:rsid w:val="5FA9622B"/>
    <w:rsid w:val="60120D61"/>
    <w:rsid w:val="60D2020F"/>
    <w:rsid w:val="61A023E8"/>
    <w:rsid w:val="61E44823"/>
    <w:rsid w:val="62B2308E"/>
    <w:rsid w:val="641824C7"/>
    <w:rsid w:val="6424628E"/>
    <w:rsid w:val="652A225D"/>
    <w:rsid w:val="65321756"/>
    <w:rsid w:val="662B0B9E"/>
    <w:rsid w:val="68303631"/>
    <w:rsid w:val="68B032DA"/>
    <w:rsid w:val="68B8313F"/>
    <w:rsid w:val="69943B27"/>
    <w:rsid w:val="69D45A7E"/>
    <w:rsid w:val="6A030A99"/>
    <w:rsid w:val="6A594161"/>
    <w:rsid w:val="6A6976AD"/>
    <w:rsid w:val="6AA902EE"/>
    <w:rsid w:val="6B161776"/>
    <w:rsid w:val="6B396477"/>
    <w:rsid w:val="6B5A635A"/>
    <w:rsid w:val="6C0A4791"/>
    <w:rsid w:val="6C551217"/>
    <w:rsid w:val="6D1D41BE"/>
    <w:rsid w:val="6DC04EE1"/>
    <w:rsid w:val="6E3B5CC1"/>
    <w:rsid w:val="6E431047"/>
    <w:rsid w:val="6E965CA8"/>
    <w:rsid w:val="6EEA28DB"/>
    <w:rsid w:val="6F1B09AF"/>
    <w:rsid w:val="6FA05B40"/>
    <w:rsid w:val="6FA13489"/>
    <w:rsid w:val="70766B7F"/>
    <w:rsid w:val="70AA2F3B"/>
    <w:rsid w:val="70DB4984"/>
    <w:rsid w:val="70E83B53"/>
    <w:rsid w:val="72AA1D50"/>
    <w:rsid w:val="72DC011A"/>
    <w:rsid w:val="73710B49"/>
    <w:rsid w:val="73CE4E79"/>
    <w:rsid w:val="74A47E14"/>
    <w:rsid w:val="756A1E47"/>
    <w:rsid w:val="75793CA5"/>
    <w:rsid w:val="75A532F8"/>
    <w:rsid w:val="763009F9"/>
    <w:rsid w:val="7690112F"/>
    <w:rsid w:val="775A658A"/>
    <w:rsid w:val="77B675CC"/>
    <w:rsid w:val="77BF7336"/>
    <w:rsid w:val="77C45171"/>
    <w:rsid w:val="78300D1D"/>
    <w:rsid w:val="783B543F"/>
    <w:rsid w:val="787378EC"/>
    <w:rsid w:val="78EA2BC0"/>
    <w:rsid w:val="79B9121B"/>
    <w:rsid w:val="79D106F5"/>
    <w:rsid w:val="7A0F4173"/>
    <w:rsid w:val="7A4B792D"/>
    <w:rsid w:val="7B3401E9"/>
    <w:rsid w:val="7B8811E8"/>
    <w:rsid w:val="7BB46820"/>
    <w:rsid w:val="7E9039E7"/>
    <w:rsid w:val="7F6C3516"/>
    <w:rsid w:val="7FE54C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iPriority="99"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iPriority="99"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Book Antiqua" w:hAnsi="Book Antiqua" w:eastAsia="宋体" w:cs="宋体"/>
      <w:kern w:val="2"/>
      <w:sz w:val="24"/>
      <w:szCs w:val="24"/>
      <w:lang w:val="en-US" w:eastAsia="zh-CN" w:bidi="ar-SA"/>
    </w:rPr>
  </w:style>
  <w:style w:type="paragraph" w:styleId="3">
    <w:name w:val="heading 1"/>
    <w:basedOn w:val="1"/>
    <w:next w:val="1"/>
    <w:qFormat/>
    <w:uiPriority w:val="0"/>
    <w:pPr>
      <w:keepNext/>
      <w:keepLines/>
      <w:spacing w:before="340" w:after="330" w:line="578" w:lineRule="auto"/>
      <w:outlineLvl w:val="0"/>
    </w:pPr>
    <w:rPr>
      <w:rFonts w:ascii="Times New Roman" w:hAnsi="Times New Roman" w:cs="Times New Roman"/>
      <w:b/>
      <w:bCs/>
      <w:kern w:val="44"/>
      <w:sz w:val="44"/>
      <w:szCs w:val="44"/>
    </w:rPr>
  </w:style>
  <w:style w:type="paragraph" w:styleId="4">
    <w:name w:val="heading 2"/>
    <w:basedOn w:val="1"/>
    <w:next w:val="1"/>
    <w:qFormat/>
    <w:uiPriority w:val="0"/>
    <w:pPr>
      <w:keepNext/>
      <w:keepLines/>
      <w:spacing w:before="260" w:after="260" w:line="416" w:lineRule="auto"/>
      <w:outlineLvl w:val="1"/>
    </w:pPr>
    <w:rPr>
      <w:rFonts w:ascii="Arial" w:hAnsi="Arial" w:eastAsia="黑体" w:cs="Times New Roman"/>
      <w:b/>
      <w:bCs/>
      <w:sz w:val="32"/>
      <w:szCs w:val="32"/>
    </w:rPr>
  </w:style>
  <w:style w:type="paragraph" w:styleId="5">
    <w:name w:val="heading 3"/>
    <w:basedOn w:val="1"/>
    <w:next w:val="1"/>
    <w:qFormat/>
    <w:uiPriority w:val="0"/>
    <w:pPr>
      <w:keepNext/>
      <w:keepLines/>
      <w:spacing w:line="360" w:lineRule="auto"/>
      <w:outlineLvl w:val="2"/>
    </w:pPr>
    <w:rPr>
      <w:rFonts w:ascii="Times New Roman" w:hAnsi="Times New Roman" w:cs="Times New Roman"/>
      <w:b/>
      <w:bCs/>
      <w:szCs w:val="32"/>
    </w:rPr>
  </w:style>
  <w:style w:type="paragraph" w:styleId="6">
    <w:name w:val="heading 4"/>
    <w:basedOn w:val="1"/>
    <w:next w:val="1"/>
    <w:qFormat/>
    <w:uiPriority w:val="0"/>
    <w:pPr>
      <w:keepNext/>
      <w:keepLines/>
      <w:spacing w:before="280" w:after="290" w:line="376" w:lineRule="auto"/>
      <w:outlineLvl w:val="3"/>
    </w:pPr>
    <w:rPr>
      <w:rFonts w:ascii="Arial" w:hAnsi="Arial" w:eastAsia="黑体" w:cs="Times New Roman"/>
      <w:b/>
      <w:bCs/>
      <w:sz w:val="28"/>
      <w:szCs w:val="28"/>
    </w:rPr>
  </w:style>
  <w:style w:type="character" w:default="1" w:styleId="38">
    <w:name w:val="Default Paragraph Font"/>
    <w:semiHidden/>
    <w:unhideWhenUsed/>
    <w:qFormat/>
    <w:uiPriority w:val="1"/>
  </w:style>
  <w:style w:type="table" w:default="1" w:styleId="36">
    <w:name w:val="Normal Table"/>
    <w:semiHidden/>
    <w:unhideWhenUsed/>
    <w:qFormat/>
    <w:uiPriority w:val="99"/>
    <w:tblPr>
      <w:tblCellMar>
        <w:top w:w="0" w:type="dxa"/>
        <w:left w:w="108" w:type="dxa"/>
        <w:bottom w:w="0" w:type="dxa"/>
        <w:right w:w="108" w:type="dxa"/>
      </w:tblCellMar>
    </w:tblPr>
  </w:style>
  <w:style w:type="paragraph" w:customStyle="1" w:styleId="2">
    <w:name w:val="无间隔1"/>
    <w:basedOn w:val="1"/>
    <w:uiPriority w:val="0"/>
    <w:pPr>
      <w:spacing w:line="400" w:lineRule="exact"/>
    </w:pPr>
  </w:style>
  <w:style w:type="paragraph" w:styleId="7">
    <w:name w:val="toc 7"/>
    <w:basedOn w:val="1"/>
    <w:next w:val="1"/>
    <w:qFormat/>
    <w:uiPriority w:val="0"/>
    <w:pPr>
      <w:ind w:left="2520" w:leftChars="1200"/>
    </w:pPr>
    <w:rPr>
      <w:rFonts w:ascii="Times New Roman" w:hAnsi="Times New Roman" w:cs="Times New Roman"/>
    </w:rPr>
  </w:style>
  <w:style w:type="paragraph" w:styleId="8">
    <w:name w:val="Normal Indent"/>
    <w:basedOn w:val="1"/>
    <w:qFormat/>
    <w:uiPriority w:val="0"/>
    <w:pPr>
      <w:autoSpaceDE w:val="0"/>
      <w:autoSpaceDN w:val="0"/>
      <w:adjustRightInd w:val="0"/>
      <w:ind w:firstLine="420"/>
      <w:jc w:val="left"/>
    </w:pPr>
    <w:rPr>
      <w:rFonts w:ascii="宋体"/>
      <w:kern w:val="0"/>
      <w:szCs w:val="20"/>
    </w:rPr>
  </w:style>
  <w:style w:type="paragraph" w:styleId="9">
    <w:name w:val="Document Map"/>
    <w:basedOn w:val="1"/>
    <w:qFormat/>
    <w:uiPriority w:val="0"/>
    <w:pPr>
      <w:shd w:val="clear" w:color="auto" w:fill="000080"/>
    </w:pPr>
  </w:style>
  <w:style w:type="paragraph" w:styleId="10">
    <w:name w:val="annotation text"/>
    <w:basedOn w:val="1"/>
    <w:link w:val="55"/>
    <w:qFormat/>
    <w:uiPriority w:val="0"/>
    <w:pPr>
      <w:jc w:val="left"/>
    </w:pPr>
    <w:rPr>
      <w:sz w:val="21"/>
    </w:rPr>
  </w:style>
  <w:style w:type="paragraph" w:styleId="11">
    <w:name w:val="Body Text 3"/>
    <w:basedOn w:val="1"/>
    <w:qFormat/>
    <w:uiPriority w:val="0"/>
    <w:rPr>
      <w:rFonts w:ascii="宋体"/>
      <w:szCs w:val="20"/>
    </w:rPr>
  </w:style>
  <w:style w:type="paragraph" w:styleId="12">
    <w:name w:val="Body Text"/>
    <w:basedOn w:val="1"/>
    <w:next w:val="1"/>
    <w:qFormat/>
    <w:uiPriority w:val="0"/>
    <w:rPr>
      <w:rFonts w:ascii="Times New Roman" w:hAnsi="Times New Roman" w:eastAsia="楷体_GB2312" w:cs="Times New Roman"/>
      <w:sz w:val="28"/>
    </w:rPr>
  </w:style>
  <w:style w:type="paragraph" w:styleId="13">
    <w:name w:val="Body Text Indent"/>
    <w:basedOn w:val="1"/>
    <w:next w:val="14"/>
    <w:link w:val="57"/>
    <w:qFormat/>
    <w:uiPriority w:val="0"/>
    <w:pPr>
      <w:ind w:firstLine="560" w:firstLineChars="200"/>
    </w:pPr>
    <w:rPr>
      <w:rFonts w:ascii="仿宋_GB2312" w:eastAsia="仿宋_GB2312"/>
      <w:sz w:val="28"/>
    </w:rPr>
  </w:style>
  <w:style w:type="paragraph" w:styleId="14">
    <w:name w:val="envelope return"/>
    <w:basedOn w:val="1"/>
    <w:unhideWhenUsed/>
    <w:qFormat/>
    <w:uiPriority w:val="99"/>
    <w:pPr>
      <w:snapToGrid w:val="0"/>
    </w:pPr>
    <w:rPr>
      <w:rFonts w:ascii="Arial" w:hAnsi="Arial"/>
    </w:rPr>
  </w:style>
  <w:style w:type="paragraph" w:styleId="15">
    <w:name w:val="toc 5"/>
    <w:basedOn w:val="1"/>
    <w:next w:val="1"/>
    <w:qFormat/>
    <w:uiPriority w:val="0"/>
    <w:pPr>
      <w:ind w:left="1680" w:leftChars="800"/>
    </w:pPr>
    <w:rPr>
      <w:rFonts w:ascii="Times New Roman" w:hAnsi="Times New Roman" w:cs="Times New Roman"/>
    </w:rPr>
  </w:style>
  <w:style w:type="paragraph" w:styleId="16">
    <w:name w:val="toc 3"/>
    <w:basedOn w:val="1"/>
    <w:next w:val="1"/>
    <w:qFormat/>
    <w:uiPriority w:val="0"/>
    <w:pPr>
      <w:ind w:left="840" w:leftChars="400"/>
    </w:pPr>
    <w:rPr>
      <w:rFonts w:ascii="Times New Roman" w:hAnsi="Times New Roman" w:cs="Times New Roman"/>
    </w:rPr>
  </w:style>
  <w:style w:type="paragraph" w:styleId="17">
    <w:name w:val="Plain Text"/>
    <w:basedOn w:val="1"/>
    <w:qFormat/>
    <w:uiPriority w:val="0"/>
    <w:rPr>
      <w:rFonts w:ascii="宋体" w:hAnsi="Courier New" w:cs="Courier New"/>
      <w:sz w:val="21"/>
      <w:szCs w:val="21"/>
    </w:rPr>
  </w:style>
  <w:style w:type="paragraph" w:styleId="18">
    <w:name w:val="toc 8"/>
    <w:basedOn w:val="1"/>
    <w:next w:val="1"/>
    <w:qFormat/>
    <w:uiPriority w:val="0"/>
    <w:pPr>
      <w:ind w:left="2940" w:leftChars="1400"/>
    </w:pPr>
    <w:rPr>
      <w:rFonts w:ascii="Times New Roman" w:hAnsi="Times New Roman" w:cs="Times New Roman"/>
    </w:rPr>
  </w:style>
  <w:style w:type="paragraph" w:styleId="19">
    <w:name w:val="Body Text Indent 2"/>
    <w:basedOn w:val="1"/>
    <w:qFormat/>
    <w:uiPriority w:val="0"/>
    <w:pPr>
      <w:spacing w:line="40" w:lineRule="atLeast"/>
      <w:ind w:firstLine="538" w:firstLineChars="192"/>
    </w:pPr>
    <w:rPr>
      <w:rFonts w:ascii="宋体" w:hAnsi="宋体"/>
      <w:kern w:val="0"/>
      <w:sz w:val="28"/>
    </w:rPr>
  </w:style>
  <w:style w:type="paragraph" w:styleId="20">
    <w:name w:val="Balloon Text"/>
    <w:basedOn w:val="1"/>
    <w:link w:val="75"/>
    <w:qFormat/>
    <w:uiPriority w:val="0"/>
    <w:rPr>
      <w:sz w:val="18"/>
      <w:szCs w:val="18"/>
    </w:rPr>
  </w:style>
  <w:style w:type="paragraph" w:styleId="21">
    <w:name w:val="footer"/>
    <w:basedOn w:val="1"/>
    <w:link w:val="67"/>
    <w:qFormat/>
    <w:uiPriority w:val="0"/>
    <w:pPr>
      <w:tabs>
        <w:tab w:val="center" w:pos="4153"/>
        <w:tab w:val="right" w:pos="8306"/>
      </w:tabs>
      <w:snapToGrid w:val="0"/>
      <w:jc w:val="left"/>
    </w:pPr>
    <w:rPr>
      <w:sz w:val="18"/>
    </w:rPr>
  </w:style>
  <w:style w:type="paragraph" w:styleId="22">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rFonts w:ascii="Times New Roman" w:hAnsi="Times New Roman" w:cs="Times New Roman"/>
      <w:sz w:val="18"/>
    </w:rPr>
  </w:style>
  <w:style w:type="paragraph" w:styleId="23">
    <w:name w:val="toc 1"/>
    <w:basedOn w:val="1"/>
    <w:next w:val="1"/>
    <w:qFormat/>
    <w:uiPriority w:val="0"/>
    <w:rPr>
      <w:rFonts w:ascii="Times New Roman" w:hAnsi="Times New Roman" w:cs="Times New Roman"/>
    </w:rPr>
  </w:style>
  <w:style w:type="paragraph" w:styleId="24">
    <w:name w:val="toc 4"/>
    <w:basedOn w:val="1"/>
    <w:next w:val="1"/>
    <w:qFormat/>
    <w:uiPriority w:val="0"/>
    <w:pPr>
      <w:ind w:left="1260" w:leftChars="600"/>
    </w:pPr>
    <w:rPr>
      <w:rFonts w:ascii="Times New Roman" w:hAnsi="Times New Roman" w:cs="Times New Roman"/>
    </w:rPr>
  </w:style>
  <w:style w:type="paragraph" w:styleId="25">
    <w:name w:val="toc 6"/>
    <w:basedOn w:val="1"/>
    <w:next w:val="1"/>
    <w:qFormat/>
    <w:uiPriority w:val="0"/>
    <w:pPr>
      <w:ind w:left="2100" w:leftChars="1000"/>
    </w:pPr>
    <w:rPr>
      <w:rFonts w:ascii="Times New Roman" w:hAnsi="Times New Roman" w:cs="Times New Roman"/>
    </w:rPr>
  </w:style>
  <w:style w:type="paragraph" w:styleId="26">
    <w:name w:val="Body Text Indent 3"/>
    <w:basedOn w:val="1"/>
    <w:qFormat/>
    <w:uiPriority w:val="0"/>
    <w:pPr>
      <w:ind w:firstLine="420" w:firstLineChars="200"/>
    </w:pPr>
    <w:rPr>
      <w:rFonts w:ascii="宋体" w:hAnsi="宋体" w:cs="Times New Roman"/>
    </w:rPr>
  </w:style>
  <w:style w:type="paragraph" w:styleId="27">
    <w:name w:val="toc 2"/>
    <w:basedOn w:val="1"/>
    <w:next w:val="1"/>
    <w:qFormat/>
    <w:uiPriority w:val="0"/>
    <w:pPr>
      <w:ind w:left="420" w:leftChars="200"/>
    </w:pPr>
    <w:rPr>
      <w:rFonts w:ascii="Times New Roman" w:hAnsi="Times New Roman" w:cs="Times New Roman"/>
    </w:rPr>
  </w:style>
  <w:style w:type="paragraph" w:styleId="28">
    <w:name w:val="toc 9"/>
    <w:basedOn w:val="1"/>
    <w:next w:val="1"/>
    <w:qFormat/>
    <w:uiPriority w:val="0"/>
    <w:pPr>
      <w:ind w:left="3360" w:leftChars="1600"/>
    </w:pPr>
    <w:rPr>
      <w:rFonts w:ascii="Times New Roman" w:hAnsi="Times New Roman" w:cs="Times New Roman"/>
    </w:rPr>
  </w:style>
  <w:style w:type="paragraph" w:styleId="29">
    <w:name w:val="Message Header"/>
    <w:basedOn w:val="1"/>
    <w:unhideWhenUsed/>
    <w:qFormat/>
    <w:uiPriority w:val="99"/>
    <w:pPr>
      <w:pBdr>
        <w:top w:val="single" w:color="auto" w:sz="6" w:space="1"/>
        <w:left w:val="single" w:color="auto" w:sz="6" w:space="1"/>
        <w:bottom w:val="single" w:color="auto" w:sz="6" w:space="1"/>
        <w:right w:val="single" w:color="auto" w:sz="6" w:space="1"/>
      </w:pBdr>
      <w:shd w:val="clear" w:color="auto" w:fill="7F7F7F"/>
      <w:spacing w:before="100" w:beforeAutospacing="1" w:after="100" w:afterAutospacing="1"/>
      <w:ind w:left="1080" w:leftChars="500" w:hanging="1080" w:hangingChars="500"/>
    </w:pPr>
    <w:rPr>
      <w:rFonts w:ascii="Arial" w:hAnsi="Arial" w:cs="Arial"/>
    </w:rPr>
  </w:style>
  <w:style w:type="paragraph" w:styleId="30">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eastAsia="Arial" w:cs="Times New Roman"/>
      <w:kern w:val="0"/>
    </w:rPr>
  </w:style>
  <w:style w:type="paragraph" w:styleId="31">
    <w:name w:val="Normal (Web)"/>
    <w:basedOn w:val="1"/>
    <w:qFormat/>
    <w:uiPriority w:val="0"/>
    <w:pPr>
      <w:widowControl/>
      <w:spacing w:before="100" w:beforeAutospacing="1" w:after="100" w:afterAutospacing="1"/>
      <w:jc w:val="left"/>
    </w:pPr>
    <w:rPr>
      <w:rFonts w:ascii="宋体" w:hAnsi="宋体"/>
      <w:kern w:val="0"/>
    </w:rPr>
  </w:style>
  <w:style w:type="paragraph" w:styleId="32">
    <w:name w:val="Title"/>
    <w:basedOn w:val="1"/>
    <w:qFormat/>
    <w:uiPriority w:val="0"/>
    <w:pPr>
      <w:spacing w:before="240" w:after="60"/>
      <w:jc w:val="center"/>
      <w:outlineLvl w:val="0"/>
    </w:pPr>
    <w:rPr>
      <w:rFonts w:ascii="Arial" w:hAnsi="Arial" w:cs="Arial"/>
      <w:b/>
      <w:bCs/>
      <w:sz w:val="32"/>
      <w:szCs w:val="32"/>
    </w:rPr>
  </w:style>
  <w:style w:type="paragraph" w:styleId="33">
    <w:name w:val="annotation subject"/>
    <w:basedOn w:val="10"/>
    <w:next w:val="10"/>
    <w:link w:val="73"/>
    <w:qFormat/>
    <w:uiPriority w:val="0"/>
    <w:rPr>
      <w:b/>
      <w:bCs/>
    </w:rPr>
  </w:style>
  <w:style w:type="paragraph" w:styleId="34">
    <w:name w:val="Body Text First Indent"/>
    <w:basedOn w:val="12"/>
    <w:next w:val="35"/>
    <w:unhideWhenUsed/>
    <w:qFormat/>
    <w:uiPriority w:val="99"/>
    <w:pPr>
      <w:ind w:firstLine="420" w:firstLineChars="100"/>
    </w:pPr>
  </w:style>
  <w:style w:type="paragraph" w:styleId="35">
    <w:name w:val="Body Text First Indent 2"/>
    <w:basedOn w:val="13"/>
    <w:next w:val="1"/>
    <w:link w:val="56"/>
    <w:qFormat/>
    <w:uiPriority w:val="0"/>
    <w:pPr>
      <w:spacing w:after="120"/>
      <w:ind w:left="420" w:leftChars="200" w:firstLine="420"/>
    </w:pPr>
  </w:style>
  <w:style w:type="table" w:styleId="37">
    <w:name w:val="Table Grid"/>
    <w:basedOn w:val="3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9">
    <w:name w:val="Strong"/>
    <w:basedOn w:val="38"/>
    <w:qFormat/>
    <w:uiPriority w:val="0"/>
  </w:style>
  <w:style w:type="character" w:styleId="40">
    <w:name w:val="page number"/>
    <w:basedOn w:val="38"/>
    <w:qFormat/>
    <w:uiPriority w:val="0"/>
    <w:rPr>
      <w:rFonts w:ascii="Times New Roman" w:hAnsi="Times New Roman" w:eastAsia="宋体" w:cs="Times New Roman"/>
    </w:rPr>
  </w:style>
  <w:style w:type="character" w:styleId="41">
    <w:name w:val="FollowedHyperlink"/>
    <w:basedOn w:val="38"/>
    <w:qFormat/>
    <w:uiPriority w:val="0"/>
    <w:rPr>
      <w:color w:val="3F88BF"/>
      <w:u w:val="none"/>
    </w:rPr>
  </w:style>
  <w:style w:type="character" w:styleId="42">
    <w:name w:val="Emphasis"/>
    <w:basedOn w:val="38"/>
    <w:qFormat/>
    <w:uiPriority w:val="0"/>
  </w:style>
  <w:style w:type="character" w:styleId="43">
    <w:name w:val="HTML Definition"/>
    <w:basedOn w:val="38"/>
    <w:qFormat/>
    <w:uiPriority w:val="0"/>
  </w:style>
  <w:style w:type="character" w:styleId="44">
    <w:name w:val="HTML Typewriter"/>
    <w:basedOn w:val="38"/>
    <w:qFormat/>
    <w:uiPriority w:val="0"/>
    <w:rPr>
      <w:rFonts w:hint="default" w:ascii="monospace" w:hAnsi="monospace" w:eastAsia="monospace" w:cs="monospace"/>
      <w:sz w:val="20"/>
    </w:rPr>
  </w:style>
  <w:style w:type="character" w:styleId="45">
    <w:name w:val="HTML Acronym"/>
    <w:basedOn w:val="38"/>
    <w:qFormat/>
    <w:uiPriority w:val="0"/>
  </w:style>
  <w:style w:type="character" w:styleId="46">
    <w:name w:val="HTML Variable"/>
    <w:basedOn w:val="38"/>
    <w:qFormat/>
    <w:uiPriority w:val="0"/>
  </w:style>
  <w:style w:type="character" w:styleId="47">
    <w:name w:val="Hyperlink"/>
    <w:qFormat/>
    <w:uiPriority w:val="0"/>
    <w:rPr>
      <w:rFonts w:ascii="Times New Roman" w:hAnsi="Times New Roman" w:eastAsia="宋体" w:cs="Times New Roman"/>
      <w:color w:val="0000FF"/>
      <w:u w:val="single"/>
    </w:rPr>
  </w:style>
  <w:style w:type="character" w:styleId="48">
    <w:name w:val="HTML Code"/>
    <w:basedOn w:val="38"/>
    <w:qFormat/>
    <w:uiPriority w:val="0"/>
    <w:rPr>
      <w:rFonts w:hint="default" w:ascii="Arial" w:hAnsi="Arial" w:eastAsia="Arial" w:cs="Arial"/>
      <w:sz w:val="20"/>
    </w:rPr>
  </w:style>
  <w:style w:type="character" w:styleId="49">
    <w:name w:val="annotation reference"/>
    <w:basedOn w:val="38"/>
    <w:qFormat/>
    <w:uiPriority w:val="0"/>
    <w:rPr>
      <w:sz w:val="21"/>
      <w:szCs w:val="21"/>
    </w:rPr>
  </w:style>
  <w:style w:type="character" w:styleId="50">
    <w:name w:val="HTML Cite"/>
    <w:basedOn w:val="38"/>
    <w:qFormat/>
    <w:uiPriority w:val="0"/>
  </w:style>
  <w:style w:type="character" w:styleId="51">
    <w:name w:val="HTML Keyboard"/>
    <w:basedOn w:val="38"/>
    <w:qFormat/>
    <w:uiPriority w:val="0"/>
    <w:rPr>
      <w:rFonts w:hint="default" w:ascii="Arial" w:hAnsi="Arial" w:eastAsia="Arial" w:cs="Arial"/>
      <w:sz w:val="20"/>
    </w:rPr>
  </w:style>
  <w:style w:type="character" w:styleId="52">
    <w:name w:val="HTML Sample"/>
    <w:basedOn w:val="38"/>
    <w:qFormat/>
    <w:uiPriority w:val="0"/>
    <w:rPr>
      <w:rFonts w:hint="eastAsia" w:ascii="Arial" w:hAnsi="Arial" w:eastAsia="Arial" w:cs="Arial"/>
    </w:rPr>
  </w:style>
  <w:style w:type="character" w:customStyle="1" w:styleId="53">
    <w:name w:val="font51"/>
    <w:basedOn w:val="38"/>
    <w:qFormat/>
    <w:uiPriority w:val="0"/>
    <w:rPr>
      <w:rFonts w:hint="default" w:ascii="Times New Roman" w:hAnsi="Times New Roman" w:cs="Times New Roman"/>
      <w:color w:val="000000"/>
      <w:sz w:val="18"/>
      <w:szCs w:val="18"/>
      <w:u w:val="none"/>
    </w:rPr>
  </w:style>
  <w:style w:type="character" w:customStyle="1" w:styleId="54">
    <w:name w:val="redfilenumber"/>
    <w:basedOn w:val="38"/>
    <w:qFormat/>
    <w:uiPriority w:val="0"/>
    <w:rPr>
      <w:color w:val="BA2636"/>
      <w:sz w:val="18"/>
      <w:szCs w:val="18"/>
    </w:rPr>
  </w:style>
  <w:style w:type="character" w:customStyle="1" w:styleId="55">
    <w:name w:val="批注文字 Char"/>
    <w:basedOn w:val="38"/>
    <w:link w:val="10"/>
    <w:qFormat/>
    <w:uiPriority w:val="0"/>
    <w:rPr>
      <w:rFonts w:ascii="Book Antiqua" w:hAnsi="Book Antiqua"/>
      <w:kern w:val="2"/>
      <w:sz w:val="21"/>
      <w:szCs w:val="24"/>
    </w:rPr>
  </w:style>
  <w:style w:type="character" w:customStyle="1" w:styleId="56">
    <w:name w:val="正文首行缩进 2 Char"/>
    <w:basedOn w:val="57"/>
    <w:link w:val="35"/>
    <w:qFormat/>
    <w:uiPriority w:val="0"/>
  </w:style>
  <w:style w:type="character" w:customStyle="1" w:styleId="57">
    <w:name w:val="正文文本缩进 Char"/>
    <w:basedOn w:val="38"/>
    <w:link w:val="13"/>
    <w:qFormat/>
    <w:uiPriority w:val="0"/>
    <w:rPr>
      <w:rFonts w:ascii="仿宋_GB2312" w:eastAsia="仿宋_GB2312"/>
      <w:kern w:val="2"/>
      <w:sz w:val="28"/>
    </w:rPr>
  </w:style>
  <w:style w:type="character" w:customStyle="1" w:styleId="58">
    <w:name w:val="next3"/>
    <w:basedOn w:val="38"/>
    <w:qFormat/>
    <w:uiPriority w:val="0"/>
    <w:rPr>
      <w:rFonts w:hint="eastAsia" w:ascii="微软雅黑" w:hAnsi="微软雅黑" w:eastAsia="微软雅黑" w:cs="微软雅黑"/>
      <w:sz w:val="21"/>
      <w:szCs w:val="21"/>
    </w:rPr>
  </w:style>
  <w:style w:type="character" w:customStyle="1" w:styleId="59">
    <w:name w:val="qxdate"/>
    <w:basedOn w:val="38"/>
    <w:qFormat/>
    <w:uiPriority w:val="0"/>
    <w:rPr>
      <w:color w:val="333333"/>
      <w:sz w:val="18"/>
      <w:szCs w:val="18"/>
    </w:rPr>
  </w:style>
  <w:style w:type="character" w:customStyle="1" w:styleId="60">
    <w:name w:val="prev"/>
    <w:basedOn w:val="38"/>
    <w:qFormat/>
    <w:uiPriority w:val="0"/>
    <w:rPr>
      <w:rFonts w:hint="eastAsia" w:ascii="微软雅黑" w:hAnsi="微软雅黑" w:eastAsia="微软雅黑" w:cs="微软雅黑"/>
      <w:sz w:val="21"/>
      <w:szCs w:val="21"/>
    </w:rPr>
  </w:style>
  <w:style w:type="character" w:customStyle="1" w:styleId="61">
    <w:name w:val="cfdate"/>
    <w:basedOn w:val="38"/>
    <w:qFormat/>
    <w:uiPriority w:val="0"/>
    <w:rPr>
      <w:color w:val="333333"/>
      <w:sz w:val="18"/>
      <w:szCs w:val="18"/>
    </w:rPr>
  </w:style>
  <w:style w:type="character" w:customStyle="1" w:styleId="62">
    <w:name w:val="next2"/>
    <w:basedOn w:val="38"/>
    <w:qFormat/>
    <w:uiPriority w:val="0"/>
    <w:rPr>
      <w:color w:val="888888"/>
    </w:rPr>
  </w:style>
  <w:style w:type="character" w:customStyle="1" w:styleId="63">
    <w:name w:val="prev3"/>
    <w:basedOn w:val="38"/>
    <w:qFormat/>
    <w:uiPriority w:val="0"/>
    <w:rPr>
      <w:rFonts w:ascii="微软雅黑" w:hAnsi="微软雅黑" w:eastAsia="微软雅黑" w:cs="微软雅黑"/>
      <w:sz w:val="21"/>
      <w:szCs w:val="21"/>
    </w:rPr>
  </w:style>
  <w:style w:type="character" w:customStyle="1" w:styleId="64">
    <w:name w:val="displayarti"/>
    <w:basedOn w:val="38"/>
    <w:qFormat/>
    <w:uiPriority w:val="0"/>
    <w:rPr>
      <w:color w:val="FFFFFF"/>
      <w:shd w:val="clear" w:color="auto" w:fill="A00000"/>
    </w:rPr>
  </w:style>
  <w:style w:type="character" w:customStyle="1" w:styleId="65">
    <w:name w:val="next"/>
    <w:basedOn w:val="38"/>
    <w:qFormat/>
    <w:uiPriority w:val="0"/>
    <w:rPr>
      <w:rFonts w:ascii="微软雅黑" w:hAnsi="微软雅黑" w:eastAsia="微软雅黑" w:cs="微软雅黑"/>
      <w:sz w:val="21"/>
      <w:szCs w:val="21"/>
    </w:rPr>
  </w:style>
  <w:style w:type="character" w:customStyle="1" w:styleId="66">
    <w:name w:val="font01"/>
    <w:basedOn w:val="38"/>
    <w:qFormat/>
    <w:uiPriority w:val="0"/>
    <w:rPr>
      <w:rFonts w:ascii="Arial" w:hAnsi="Arial" w:cs="Arial"/>
      <w:color w:val="000000"/>
      <w:sz w:val="18"/>
      <w:szCs w:val="18"/>
      <w:u w:val="none"/>
    </w:rPr>
  </w:style>
  <w:style w:type="character" w:customStyle="1" w:styleId="67">
    <w:name w:val="页脚 Char"/>
    <w:basedOn w:val="38"/>
    <w:link w:val="21"/>
    <w:qFormat/>
    <w:uiPriority w:val="0"/>
    <w:rPr>
      <w:kern w:val="2"/>
      <w:sz w:val="18"/>
      <w:szCs w:val="24"/>
    </w:rPr>
  </w:style>
  <w:style w:type="character" w:customStyle="1" w:styleId="68">
    <w:name w:val="release-day"/>
    <w:basedOn w:val="38"/>
    <w:qFormat/>
    <w:uiPriority w:val="0"/>
    <w:rPr>
      <w:bdr w:val="single" w:color="BDEBB0" w:sz="6" w:space="0"/>
      <w:shd w:val="clear" w:color="auto" w:fill="F5FFF1"/>
    </w:rPr>
  </w:style>
  <w:style w:type="character" w:customStyle="1" w:styleId="69">
    <w:name w:val="15"/>
    <w:basedOn w:val="38"/>
    <w:qFormat/>
    <w:uiPriority w:val="0"/>
    <w:rPr>
      <w:rFonts w:hint="default"/>
      <w:b/>
      <w:bCs/>
      <w:sz w:val="20"/>
      <w:szCs w:val="20"/>
    </w:rPr>
  </w:style>
  <w:style w:type="character" w:customStyle="1" w:styleId="70">
    <w:name w:val="prev1"/>
    <w:basedOn w:val="38"/>
    <w:qFormat/>
    <w:uiPriority w:val="0"/>
    <w:rPr>
      <w:color w:val="888888"/>
    </w:rPr>
  </w:style>
  <w:style w:type="character" w:customStyle="1" w:styleId="71">
    <w:name w:val="font21"/>
    <w:basedOn w:val="38"/>
    <w:qFormat/>
    <w:uiPriority w:val="0"/>
    <w:rPr>
      <w:rFonts w:hint="eastAsia" w:ascii="宋体" w:hAnsi="宋体" w:eastAsia="宋体" w:cs="宋体"/>
      <w:color w:val="000000"/>
      <w:sz w:val="18"/>
      <w:szCs w:val="18"/>
      <w:u w:val="none"/>
    </w:rPr>
  </w:style>
  <w:style w:type="character" w:customStyle="1" w:styleId="72">
    <w:name w:val="next1"/>
    <w:basedOn w:val="38"/>
    <w:qFormat/>
    <w:uiPriority w:val="0"/>
    <w:rPr>
      <w:color w:val="888888"/>
    </w:rPr>
  </w:style>
  <w:style w:type="character" w:customStyle="1" w:styleId="73">
    <w:name w:val="批注主题 Char"/>
    <w:basedOn w:val="55"/>
    <w:link w:val="33"/>
    <w:qFormat/>
    <w:uiPriority w:val="0"/>
    <w:rPr>
      <w:b/>
      <w:bCs/>
    </w:rPr>
  </w:style>
  <w:style w:type="character" w:customStyle="1" w:styleId="74">
    <w:name w:val="num2"/>
    <w:basedOn w:val="38"/>
    <w:qFormat/>
    <w:uiPriority w:val="0"/>
    <w:rPr>
      <w:b/>
      <w:color w:val="FF7800"/>
    </w:rPr>
  </w:style>
  <w:style w:type="character" w:customStyle="1" w:styleId="75">
    <w:name w:val="批注框文本 Char"/>
    <w:basedOn w:val="38"/>
    <w:link w:val="20"/>
    <w:qFormat/>
    <w:uiPriority w:val="0"/>
    <w:rPr>
      <w:rFonts w:ascii="Book Antiqua" w:hAnsi="Book Antiqua"/>
      <w:kern w:val="2"/>
      <w:sz w:val="18"/>
      <w:szCs w:val="18"/>
    </w:rPr>
  </w:style>
  <w:style w:type="character" w:customStyle="1" w:styleId="76">
    <w:name w:val="gjfg"/>
    <w:basedOn w:val="38"/>
    <w:qFormat/>
    <w:uiPriority w:val="0"/>
  </w:style>
  <w:style w:type="character" w:customStyle="1" w:styleId="77">
    <w:name w:val="redfilefwwh"/>
    <w:basedOn w:val="38"/>
    <w:qFormat/>
    <w:uiPriority w:val="0"/>
    <w:rPr>
      <w:color w:val="BA2636"/>
      <w:sz w:val="18"/>
      <w:szCs w:val="18"/>
    </w:rPr>
  </w:style>
  <w:style w:type="character" w:customStyle="1" w:styleId="78">
    <w:name w:val="prev2"/>
    <w:basedOn w:val="38"/>
    <w:qFormat/>
    <w:uiPriority w:val="0"/>
    <w:rPr>
      <w:color w:val="888888"/>
    </w:rPr>
  </w:style>
  <w:style w:type="character" w:customStyle="1" w:styleId="79">
    <w:name w:val="answer-title"/>
    <w:basedOn w:val="38"/>
    <w:qFormat/>
    <w:uiPriority w:val="0"/>
    <w:rPr>
      <w:color w:val="35B558"/>
      <w:sz w:val="33"/>
      <w:szCs w:val="33"/>
    </w:rPr>
  </w:style>
  <w:style w:type="paragraph" w:customStyle="1" w:styleId="80">
    <w:name w:val="2"/>
    <w:next w:val="1"/>
    <w:qFormat/>
    <w:uiPriority w:val="0"/>
    <w:pPr>
      <w:widowControl w:val="0"/>
      <w:jc w:val="both"/>
    </w:pPr>
    <w:rPr>
      <w:rFonts w:ascii="Times New Roman" w:hAnsi="Times New Roman" w:eastAsia="宋体" w:cs="Times New Roman"/>
      <w:sz w:val="21"/>
      <w:lang w:val="en-US" w:eastAsia="zh-CN" w:bidi="ar-SA"/>
    </w:rPr>
  </w:style>
  <w:style w:type="paragraph" w:customStyle="1" w:styleId="81">
    <w:name w:val="样式2"/>
    <w:basedOn w:val="4"/>
    <w:qFormat/>
    <w:uiPriority w:val="0"/>
    <w:pPr>
      <w:spacing w:line="413" w:lineRule="auto"/>
      <w:jc w:val="left"/>
    </w:pPr>
    <w:rPr>
      <w:rFonts w:ascii="华文中宋" w:hAnsi="华文中宋" w:eastAsia="宋体"/>
      <w:bCs w:val="0"/>
      <w:color w:val="000000"/>
      <w:szCs w:val="20"/>
    </w:rPr>
  </w:style>
  <w:style w:type="paragraph" w:customStyle="1" w:styleId="82">
    <w:name w:val="p16"/>
    <w:basedOn w:val="1"/>
    <w:qFormat/>
    <w:uiPriority w:val="0"/>
    <w:pPr>
      <w:widowControl/>
      <w:spacing w:before="100" w:after="100"/>
      <w:jc w:val="left"/>
    </w:pPr>
    <w:rPr>
      <w:rFonts w:ascii="Calibri" w:hAnsi="Calibri"/>
      <w:kern w:val="0"/>
    </w:rPr>
  </w:style>
  <w:style w:type="paragraph" w:customStyle="1" w:styleId="83">
    <w:name w:val="p15"/>
    <w:basedOn w:val="1"/>
    <w:qFormat/>
    <w:uiPriority w:val="0"/>
    <w:pPr>
      <w:widowControl/>
      <w:spacing w:line="365" w:lineRule="atLeast"/>
      <w:ind w:left="1"/>
    </w:pPr>
    <w:rPr>
      <w:rFonts w:ascii="Times New Roman" w:hAnsi="Times New Roman" w:cs="Times New Roman"/>
      <w:kern w:val="0"/>
      <w:sz w:val="20"/>
    </w:rPr>
  </w:style>
  <w:style w:type="paragraph" w:customStyle="1" w:styleId="84">
    <w:name w:val="正文 New"/>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85">
    <w:name w:val="style4"/>
    <w:basedOn w:val="1"/>
    <w:next w:val="80"/>
    <w:qFormat/>
    <w:uiPriority w:val="0"/>
    <w:pPr>
      <w:widowControl/>
      <w:spacing w:before="100" w:beforeAutospacing="1" w:after="100" w:afterAutospacing="1"/>
      <w:jc w:val="left"/>
    </w:pPr>
    <w:rPr>
      <w:rFonts w:ascii="宋体" w:hAnsi="宋体"/>
      <w:kern w:val="0"/>
      <w:sz w:val="18"/>
      <w:szCs w:val="18"/>
    </w:rPr>
  </w:style>
  <w:style w:type="paragraph" w:customStyle="1" w:styleId="86">
    <w:name w:val="列出段落1"/>
    <w:basedOn w:val="1"/>
    <w:uiPriority w:val="0"/>
    <w:pPr>
      <w:ind w:firstLine="420" w:firstLineChars="200"/>
    </w:pPr>
    <w:rPr>
      <w:rFonts w:ascii="Times New Roman" w:hAnsi="Times New Roman" w:cs="Times New Roman"/>
    </w:rPr>
  </w:style>
  <w:style w:type="paragraph" w:customStyle="1" w:styleId="87">
    <w:name w:val="xl41"/>
    <w:basedOn w:val="1"/>
    <w:uiPriority w:val="0"/>
    <w:pPr>
      <w:widowControl/>
      <w:pBdr>
        <w:bottom w:val="single" w:color="auto" w:sz="4" w:space="0"/>
      </w:pBdr>
      <w:spacing w:before="100" w:beforeAutospacing="1" w:after="100" w:afterAutospacing="1"/>
      <w:jc w:val="center"/>
      <w:textAlignment w:val="center"/>
    </w:pPr>
    <w:rPr>
      <w:rFonts w:hint="eastAsia" w:ascii="黑体" w:hAnsi="宋体" w:eastAsia="黑体" w:cs="Times New Roman"/>
      <w:b/>
      <w:kern w:val="0"/>
      <w:sz w:val="32"/>
      <w:szCs w:val="20"/>
    </w:rPr>
  </w:style>
  <w:style w:type="paragraph" w:customStyle="1" w:styleId="88">
    <w:name w:val="p0"/>
    <w:basedOn w:val="1"/>
    <w:qFormat/>
    <w:uiPriority w:val="0"/>
    <w:pPr>
      <w:widowControl/>
    </w:pPr>
    <w:rPr>
      <w:rFonts w:ascii="Times New Roman" w:hAnsi="Times New Roman" w:cs="Times New Roman"/>
      <w:kern w:val="0"/>
      <w:szCs w:val="21"/>
    </w:rPr>
  </w:style>
  <w:style w:type="paragraph" w:customStyle="1" w:styleId="89">
    <w:name w:val="标题3-1"/>
    <w:basedOn w:val="5"/>
    <w:uiPriority w:val="0"/>
    <w:pPr>
      <w:numPr>
        <w:ilvl w:val="0"/>
        <w:numId w:val="1"/>
      </w:numPr>
    </w:pPr>
  </w:style>
  <w:style w:type="paragraph" w:customStyle="1" w:styleId="90">
    <w:name w:val="文档正文"/>
    <w:basedOn w:val="1"/>
    <w:uiPriority w:val="0"/>
    <w:pPr>
      <w:adjustRightInd w:val="0"/>
      <w:spacing w:line="480" w:lineRule="atLeast"/>
      <w:ind w:firstLine="567"/>
    </w:pPr>
    <w:rPr>
      <w:rFonts w:ascii="仿宋_GB2312" w:hAnsi="Times New Roman" w:eastAsia="仿宋_GB2312" w:cs="Times New Roman"/>
      <w:kern w:val="0"/>
      <w:sz w:val="28"/>
      <w:szCs w:val="20"/>
    </w:rPr>
  </w:style>
  <w:style w:type="paragraph" w:styleId="91">
    <w:name w:val="List Paragraph"/>
    <w:basedOn w:val="1"/>
    <w:qFormat/>
    <w:uiPriority w:val="0"/>
    <w:pPr>
      <w:ind w:firstLine="420" w:firstLineChars="200"/>
    </w:pPr>
  </w:style>
  <w:style w:type="paragraph" w:customStyle="1" w:styleId="92">
    <w:name w:val="样式1"/>
    <w:basedOn w:val="1"/>
    <w:uiPriority w:val="0"/>
    <w:pPr>
      <w:tabs>
        <w:tab w:val="left" w:pos="709"/>
      </w:tabs>
      <w:ind w:left="709" w:hanging="709"/>
    </w:pPr>
    <w:rPr>
      <w:rFonts w:ascii="宋体" w:hAnsi="宋体"/>
      <w:sz w:val="21"/>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jpeg"/><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4097"/>
    <customShpInfo spid="_x0000_s409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82</Pages>
  <Words>7019</Words>
  <Characters>40010</Characters>
  <Lines>333</Lines>
  <Paragraphs>93</Paragraphs>
  <TotalTime>20</TotalTime>
  <ScaleCrop>false</ScaleCrop>
  <LinksUpToDate>false</LinksUpToDate>
  <CharactersWithSpaces>46936</CharactersWithSpaces>
  <Application>WPS Office_11.1.0.10072_F1E327BC-269C-435d-A152-05C5408002CA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2020-10-14T08:25:00Z</dcterms:created>
  <dc:creator>Administrator</dc:creator>
  <cp:lastModifiedBy>Administrator</cp:lastModifiedBy>
  <cp:lastPrinted>2020-10-16T00:51:00Z</cp:lastPrinted>
  <dcterms:modified xsi:type="dcterms:W3CDTF">2020-11-03T00:52:58Z</dcterms:modified>
  <dc:title>采购项目</dc:title>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2052-11.1.0.10072</vt:lpwstr>
  </property>
</Properties>
</file>