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numPr>
          <w:ilvl w:val="0"/>
          <w:numId w:val="0"/>
        </w:numPr>
        <w:spacing w:line="480" w:lineRule="exact"/>
        <w:ind w:leftChars="0" w:right="-72" w:rightChars="-30"/>
        <w:jc w:val="center"/>
        <w:rPr>
          <w:rFonts w:hint="eastAsia" w:ascii="等线" w:hAnsi="等线" w:eastAsia="等线" w:cs="等线"/>
          <w:bCs w:val="0"/>
        </w:rPr>
      </w:pPr>
      <w:bookmarkStart w:id="0" w:name="_Toc477166579"/>
      <w:bookmarkStart w:id="1" w:name="_Toc17444525"/>
      <w:bookmarkStart w:id="2" w:name="_Toc458698253"/>
      <w:r>
        <w:rPr>
          <w:rFonts w:hint="eastAsia" w:ascii="等线" w:hAnsi="等线" w:eastAsia="等线" w:cs="等线"/>
          <w:bCs w:val="0"/>
          <w:lang w:eastAsia="zh-CN"/>
        </w:rPr>
        <w:t>（</w:t>
      </w:r>
      <w:r>
        <w:rPr>
          <w:rFonts w:hint="eastAsia" w:ascii="等线" w:hAnsi="等线" w:eastAsia="等线" w:cs="等线"/>
          <w:bCs w:val="0"/>
          <w:lang w:val="en-US" w:eastAsia="zh-CN"/>
        </w:rPr>
        <w:t>二次</w:t>
      </w:r>
      <w:r>
        <w:rPr>
          <w:rFonts w:hint="eastAsia" w:ascii="等线" w:hAnsi="等线" w:eastAsia="等线" w:cs="等线"/>
          <w:bCs w:val="0"/>
          <w:lang w:eastAsia="zh-CN"/>
        </w:rPr>
        <w:t>）</w:t>
      </w:r>
      <w:r>
        <w:rPr>
          <w:rFonts w:hint="eastAsia" w:ascii="等线" w:hAnsi="等线" w:eastAsia="等线" w:cs="等线"/>
          <w:bCs w:val="0"/>
          <w:lang w:val="en-US" w:eastAsia="zh-CN"/>
        </w:rPr>
        <w:t>二包</w:t>
      </w:r>
      <w:r>
        <w:rPr>
          <w:rFonts w:hint="eastAsia" w:ascii="等线" w:hAnsi="等线" w:eastAsia="等线" w:cs="等线"/>
          <w:bCs w:val="0"/>
        </w:rPr>
        <w:t>采购需求</w:t>
      </w:r>
      <w:bookmarkEnd w:id="0"/>
      <w:bookmarkEnd w:id="1"/>
      <w:bookmarkEnd w:id="2"/>
    </w:p>
    <w:p>
      <w:pPr>
        <w:pStyle w:val="2"/>
        <w:rPr>
          <w:rFonts w:hint="eastAsia"/>
        </w:rPr>
      </w:pPr>
    </w:p>
    <w:p>
      <w:pPr>
        <w:widowControl/>
        <w:numPr>
          <w:ilvl w:val="3"/>
          <w:numId w:val="1"/>
        </w:numPr>
        <w:adjustRightInd w:val="0"/>
        <w:snapToGrid w:val="0"/>
        <w:spacing w:line="400" w:lineRule="exact"/>
        <w:rPr>
          <w:rFonts w:hint="eastAsia" w:ascii="等线" w:hAnsi="等线" w:eastAsia="等线" w:cs="等线"/>
          <w:b/>
          <w:color w:val="000000"/>
          <w:kern w:val="0"/>
          <w:sz w:val="32"/>
          <w:szCs w:val="32"/>
        </w:rPr>
      </w:pPr>
      <w:r>
        <w:rPr>
          <w:rFonts w:hint="eastAsia" w:ascii="等线" w:hAnsi="等线" w:eastAsia="等线" w:cs="等线"/>
          <w:b/>
          <w:color w:val="000000"/>
          <w:kern w:val="0"/>
          <w:sz w:val="32"/>
          <w:szCs w:val="32"/>
        </w:rPr>
        <w:t>相关说明</w:t>
      </w:r>
    </w:p>
    <w:p>
      <w:pPr>
        <w:keepNext w:val="0"/>
        <w:keepLines w:val="0"/>
        <w:pageBreakBefore w:val="0"/>
        <w:widowControl/>
        <w:numPr>
          <w:ilvl w:val="2"/>
          <w:numId w:val="2"/>
        </w:numPr>
        <w:kinsoku/>
        <w:overflowPunct/>
        <w:topLinePunct w:val="0"/>
        <w:autoSpaceDE/>
        <w:autoSpaceDN/>
        <w:bidi w:val="0"/>
        <w:adjustRightInd w:val="0"/>
        <w:snapToGrid w:val="0"/>
        <w:spacing w:line="540" w:lineRule="exact"/>
        <w:ind w:firstLine="480" w:firstLineChars="200"/>
        <w:jc w:val="left"/>
        <w:textAlignment w:val="auto"/>
        <w:rPr>
          <w:rFonts w:hint="eastAsia" w:ascii="等线" w:hAnsi="等线" w:eastAsia="等线" w:cs="等线"/>
          <w:color w:val="000000"/>
          <w:kern w:val="0"/>
          <w:sz w:val="24"/>
          <w:szCs w:val="24"/>
        </w:rPr>
      </w:pPr>
      <w:r>
        <w:rPr>
          <w:rFonts w:hint="eastAsia" w:ascii="等线" w:hAnsi="等线" w:eastAsia="等线" w:cs="等线"/>
          <w:bCs/>
          <w:color w:val="000000"/>
          <w:kern w:val="0"/>
          <w:sz w:val="24"/>
          <w:szCs w:val="24"/>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等线" w:hAnsi="等线" w:eastAsia="等线" w:cs="等线"/>
          <w:color w:val="000000"/>
          <w:kern w:val="0"/>
          <w:sz w:val="24"/>
          <w:szCs w:val="24"/>
        </w:rPr>
        <w:t>。</w:t>
      </w:r>
    </w:p>
    <w:p>
      <w:pPr>
        <w:keepNext w:val="0"/>
        <w:keepLines w:val="0"/>
        <w:pageBreakBefore w:val="0"/>
        <w:widowControl/>
        <w:numPr>
          <w:ilvl w:val="2"/>
          <w:numId w:val="2"/>
        </w:numPr>
        <w:kinsoku/>
        <w:overflowPunct/>
        <w:topLinePunct w:val="0"/>
        <w:autoSpaceDE/>
        <w:autoSpaceDN/>
        <w:bidi w:val="0"/>
        <w:adjustRightInd w:val="0"/>
        <w:snapToGrid w:val="0"/>
        <w:spacing w:line="540" w:lineRule="exact"/>
        <w:ind w:firstLine="480" w:firstLineChars="200"/>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本次采购内容如果要求的某些技术标准低于国家标准，均以最新的国家标准为准。招标技术要求中未明确的技术标准也均不得低于国家标准；</w:t>
      </w:r>
    </w:p>
    <w:p>
      <w:pPr>
        <w:keepNext w:val="0"/>
        <w:keepLines w:val="0"/>
        <w:pageBreakBefore w:val="0"/>
        <w:widowControl/>
        <w:kinsoku/>
        <w:overflowPunct/>
        <w:topLinePunct w:val="0"/>
        <w:autoSpaceDE/>
        <w:autoSpaceDN/>
        <w:bidi w:val="0"/>
        <w:snapToGrid w:val="0"/>
        <w:spacing w:line="540" w:lineRule="exact"/>
        <w:ind w:firstLine="480" w:firstLineChars="200"/>
        <w:jc w:val="left"/>
        <w:textAlignment w:val="auto"/>
        <w:rPr>
          <w:rFonts w:hint="eastAsia" w:ascii="等线" w:hAnsi="等线" w:eastAsia="等线" w:cs="等线"/>
          <w:b/>
          <w:bCs/>
          <w:color w:val="0000FF"/>
          <w:kern w:val="0"/>
          <w:sz w:val="24"/>
          <w:szCs w:val="24"/>
        </w:rPr>
      </w:pPr>
      <w:r>
        <w:rPr>
          <w:rFonts w:hint="eastAsia" w:ascii="等线" w:hAnsi="等线" w:eastAsia="等线" w:cs="等线"/>
          <w:b/>
          <w:bCs/>
          <w:color w:val="0000FF"/>
          <w:kern w:val="0"/>
          <w:sz w:val="24"/>
          <w:szCs w:val="24"/>
        </w:rPr>
        <w:t>本次采购产品如在国家强制性认证范围内的必须取得国家强制性CCC认证（提供CCC认证证书，投标文件商务、技术证明文件正本中提供复印件加盖投标人或</w:t>
      </w:r>
      <w:r>
        <w:rPr>
          <w:rFonts w:hint="eastAsia" w:ascii="等线" w:hAnsi="等线" w:eastAsia="等线" w:cs="等线"/>
          <w:b/>
          <w:bCs/>
          <w:color w:val="0000FF"/>
          <w:kern w:val="0"/>
          <w:sz w:val="24"/>
          <w:szCs w:val="24"/>
          <w:lang w:eastAsia="zh-CN"/>
        </w:rPr>
        <w:t>生产厂家</w:t>
      </w:r>
      <w:r>
        <w:rPr>
          <w:rFonts w:hint="eastAsia" w:ascii="等线" w:hAnsi="等线" w:eastAsia="等线" w:cs="等线"/>
          <w:b/>
          <w:bCs/>
          <w:color w:val="0000FF"/>
          <w:kern w:val="0"/>
          <w:sz w:val="24"/>
          <w:szCs w:val="24"/>
        </w:rPr>
        <w:t>公章，副本可为正本复印件）。</w:t>
      </w:r>
    </w:p>
    <w:p>
      <w:pPr>
        <w:keepNext w:val="0"/>
        <w:keepLines w:val="0"/>
        <w:pageBreakBefore w:val="0"/>
        <w:widowControl/>
        <w:numPr>
          <w:ilvl w:val="2"/>
          <w:numId w:val="2"/>
        </w:numPr>
        <w:kinsoku/>
        <w:overflowPunct/>
        <w:topLinePunct w:val="0"/>
        <w:autoSpaceDE/>
        <w:autoSpaceDN/>
        <w:bidi w:val="0"/>
        <w:adjustRightInd w:val="0"/>
        <w:snapToGrid w:val="0"/>
        <w:spacing w:line="540" w:lineRule="exact"/>
        <w:ind w:firstLine="480" w:firstLineChars="200"/>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本采购项目为交钥匙项目，验收合格前所需的一切费用均包含在报价之中，采购人不承担成交价格以外的任何费用。</w:t>
      </w:r>
    </w:p>
    <w:p>
      <w:pPr>
        <w:keepNext w:val="0"/>
        <w:keepLines w:val="0"/>
        <w:pageBreakBefore w:val="0"/>
        <w:widowControl/>
        <w:numPr>
          <w:ilvl w:val="3"/>
          <w:numId w:val="1"/>
        </w:numPr>
        <w:kinsoku/>
        <w:overflowPunct/>
        <w:topLinePunct w:val="0"/>
        <w:autoSpaceDE/>
        <w:autoSpaceDN/>
        <w:bidi w:val="0"/>
        <w:adjustRightInd w:val="0"/>
        <w:snapToGrid w:val="0"/>
        <w:spacing w:line="540" w:lineRule="exact"/>
        <w:textAlignment w:val="auto"/>
        <w:rPr>
          <w:rFonts w:hint="eastAsia" w:ascii="等线" w:hAnsi="等线" w:eastAsia="等线" w:cs="等线"/>
          <w:b/>
          <w:color w:val="000000"/>
          <w:kern w:val="0"/>
          <w:sz w:val="24"/>
          <w:szCs w:val="24"/>
        </w:rPr>
      </w:pPr>
      <w:r>
        <w:rPr>
          <w:rFonts w:hint="eastAsia" w:ascii="等线" w:hAnsi="等线" w:eastAsia="等线" w:cs="等线"/>
          <w:b/>
          <w:color w:val="000000"/>
          <w:kern w:val="0"/>
          <w:sz w:val="24"/>
          <w:szCs w:val="24"/>
        </w:rPr>
        <w:t>商务要求：</w:t>
      </w:r>
    </w:p>
    <w:p>
      <w:pPr>
        <w:keepNext w:val="0"/>
        <w:keepLines w:val="0"/>
        <w:pageBreakBefore w:val="0"/>
        <w:numPr>
          <w:ilvl w:val="2"/>
          <w:numId w:val="3"/>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合同履行期限：合同签订之日起30个工作日内完成项目全部工作。</w:t>
      </w:r>
    </w:p>
    <w:p>
      <w:pPr>
        <w:keepNext w:val="0"/>
        <w:keepLines w:val="0"/>
        <w:pageBreakBefore w:val="0"/>
        <w:numPr>
          <w:ilvl w:val="2"/>
          <w:numId w:val="3"/>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供货安装地点：</w:t>
      </w:r>
      <w:r>
        <w:rPr>
          <w:rFonts w:hint="eastAsia" w:ascii="等线" w:hAnsi="等线" w:eastAsia="等线" w:cs="等线"/>
          <w:color w:val="auto"/>
          <w:sz w:val="24"/>
          <w:szCs w:val="24"/>
          <w:highlight w:val="none"/>
          <w:lang w:val="en-US" w:eastAsia="zh-CN"/>
        </w:rPr>
        <w:t>武陟县</w:t>
      </w:r>
    </w:p>
    <w:p>
      <w:pPr>
        <w:keepNext w:val="0"/>
        <w:keepLines w:val="0"/>
        <w:pageBreakBefore w:val="0"/>
        <w:numPr>
          <w:ilvl w:val="2"/>
          <w:numId w:val="3"/>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质量标准： 符合国家及行业相关标准</w:t>
      </w:r>
    </w:p>
    <w:p>
      <w:pPr>
        <w:keepNext w:val="0"/>
        <w:keepLines w:val="0"/>
        <w:pageBreakBefore w:val="0"/>
        <w:numPr>
          <w:ilvl w:val="2"/>
          <w:numId w:val="3"/>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质量保证期： </w:t>
      </w:r>
      <w:r>
        <w:rPr>
          <w:rFonts w:hint="eastAsia" w:cs="等线"/>
          <w:color w:val="auto"/>
          <w:sz w:val="24"/>
          <w:szCs w:val="24"/>
          <w:highlight w:val="none"/>
          <w:lang w:val="en-US" w:eastAsia="zh-CN"/>
        </w:rPr>
        <w:t>两</w:t>
      </w:r>
      <w:r>
        <w:rPr>
          <w:rFonts w:hint="eastAsia" w:ascii="等线" w:hAnsi="等线" w:eastAsia="等线" w:cs="等线"/>
          <w:color w:val="auto"/>
          <w:sz w:val="24"/>
          <w:szCs w:val="24"/>
          <w:highlight w:val="none"/>
        </w:rPr>
        <w:t>年。</w:t>
      </w:r>
    </w:p>
    <w:p>
      <w:pPr>
        <w:keepNext w:val="0"/>
        <w:keepLines w:val="0"/>
        <w:pageBreakBefore w:val="0"/>
        <w:numPr>
          <w:ilvl w:val="2"/>
          <w:numId w:val="3"/>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履约担保：中标人与采购人签订合同前，需向采购人交纳中标金额</w:t>
      </w:r>
      <w:r>
        <w:rPr>
          <w:rFonts w:hint="eastAsia" w:ascii="等线" w:hAnsi="等线" w:eastAsia="等线" w:cs="等线"/>
          <w:color w:val="auto"/>
          <w:sz w:val="24"/>
          <w:szCs w:val="24"/>
          <w:highlight w:val="none"/>
          <w:u w:val="none"/>
        </w:rPr>
        <w:t>的</w:t>
      </w:r>
      <w:r>
        <w:rPr>
          <w:rFonts w:hint="eastAsia" w:ascii="等线" w:hAnsi="等线" w:eastAsia="等线" w:cs="等线"/>
          <w:color w:val="auto"/>
          <w:sz w:val="24"/>
          <w:szCs w:val="24"/>
          <w:highlight w:val="none"/>
          <w:u w:val="none"/>
          <w:lang w:val="en-US" w:eastAsia="zh-CN"/>
        </w:rPr>
        <w:t>5</w:t>
      </w:r>
      <w:r>
        <w:rPr>
          <w:rFonts w:hint="eastAsia" w:ascii="等线" w:hAnsi="等线" w:eastAsia="等线" w:cs="等线"/>
          <w:color w:val="auto"/>
          <w:sz w:val="24"/>
          <w:szCs w:val="24"/>
          <w:highlight w:val="none"/>
          <w:u w:val="none"/>
        </w:rPr>
        <w:t>%作为履约保证金，合同履行结束，经验收合格后退还。</w:t>
      </w:r>
    </w:p>
    <w:p>
      <w:pPr>
        <w:keepNext w:val="0"/>
        <w:keepLines w:val="0"/>
        <w:pageBreakBefore w:val="0"/>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6.付款方式：合同生效后</w:t>
      </w:r>
      <w:r>
        <w:rPr>
          <w:rFonts w:hint="eastAsia" w:cs="等线"/>
          <w:color w:val="auto"/>
          <w:sz w:val="24"/>
          <w:szCs w:val="24"/>
          <w:highlight w:val="none"/>
          <w:lang w:eastAsia="zh-CN"/>
        </w:rPr>
        <w:t>，乙方负责将货物送至合同约定的交货地点</w:t>
      </w:r>
      <w:r>
        <w:rPr>
          <w:rFonts w:hint="eastAsia" w:cs="等线"/>
          <w:color w:val="auto"/>
          <w:sz w:val="24"/>
          <w:szCs w:val="24"/>
          <w:highlight w:val="none"/>
          <w:lang w:val="en-US" w:eastAsia="zh-CN"/>
        </w:rPr>
        <w:t>，初步验收合格后甲方一次性支付合同价款90%，剩余10%</w:t>
      </w:r>
      <w:r>
        <w:rPr>
          <w:rFonts w:hint="eastAsia" w:ascii="等线" w:hAnsi="等线" w:eastAsia="等线" w:cs="等线"/>
          <w:color w:val="auto"/>
          <w:sz w:val="24"/>
          <w:szCs w:val="24"/>
          <w:highlight w:val="none"/>
        </w:rPr>
        <w:t>，质保期满且检验无任何质量问题一次付清（无利息）。</w:t>
      </w:r>
    </w:p>
    <w:p>
      <w:pPr>
        <w:keepNext w:val="0"/>
        <w:keepLines w:val="0"/>
        <w:pageBreakBefore w:val="0"/>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7.售后服务要求：（1）、故障响应时间：接到故障通知后2小时内响应，12小时内到达现场维修，如不能及时解决问题时要提供备机服务，直到原设备修复。（2）、送货及安装调试：免费送货上门、安装、调试和技术培训。</w:t>
      </w:r>
    </w:p>
    <w:p>
      <w:pPr>
        <w:keepNext w:val="0"/>
        <w:keepLines w:val="0"/>
        <w:pageBreakBefore w:val="0"/>
        <w:widowControl/>
        <w:numPr>
          <w:ilvl w:val="3"/>
          <w:numId w:val="1"/>
        </w:numPr>
        <w:kinsoku/>
        <w:overflowPunct/>
        <w:topLinePunct w:val="0"/>
        <w:autoSpaceDE/>
        <w:autoSpaceDN/>
        <w:bidi w:val="0"/>
        <w:adjustRightInd w:val="0"/>
        <w:snapToGrid w:val="0"/>
        <w:spacing w:line="540" w:lineRule="exact"/>
        <w:textAlignment w:val="auto"/>
        <w:rPr>
          <w:rFonts w:hint="eastAsia" w:ascii="等线" w:hAnsi="等线" w:eastAsia="等线" w:cs="等线"/>
          <w:b/>
          <w:color w:val="000000"/>
          <w:kern w:val="0"/>
          <w:sz w:val="24"/>
          <w:szCs w:val="24"/>
        </w:rPr>
      </w:pPr>
      <w:r>
        <w:rPr>
          <w:rFonts w:hint="eastAsia" w:ascii="等线" w:hAnsi="等线" w:eastAsia="等线" w:cs="等线"/>
          <w:b/>
          <w:color w:val="000000"/>
          <w:kern w:val="0"/>
          <w:sz w:val="24"/>
          <w:szCs w:val="24"/>
        </w:rPr>
        <w:t>其他要求：</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color w:val="000000"/>
          <w:kern w:val="0"/>
          <w:sz w:val="24"/>
          <w:szCs w:val="24"/>
          <w:lang w:val="en-US" w:eastAsia="zh-CN" w:bidi="ar"/>
        </w:rPr>
      </w:pPr>
      <w:r>
        <w:rPr>
          <w:rFonts w:hint="eastAsia" w:ascii="等线" w:hAnsi="等线" w:eastAsia="等线" w:cs="等线"/>
          <w:color w:val="000000"/>
          <w:kern w:val="0"/>
          <w:sz w:val="24"/>
          <w:szCs w:val="24"/>
          <w:lang w:val="en-US" w:eastAsia="zh-CN" w:bidi="ar"/>
        </w:rPr>
        <w:t>商品包装要求：</w:t>
      </w:r>
    </w:p>
    <w:p>
      <w:pPr>
        <w:keepNext w:val="0"/>
        <w:keepLines w:val="0"/>
        <w:pageBreakBefore w:val="0"/>
        <w:widowControl/>
        <w:suppressLineNumbers w:val="0"/>
        <w:kinsoku/>
        <w:wordWrap w:val="0"/>
        <w:overflowPunct/>
        <w:topLinePunct w:val="0"/>
        <w:autoSpaceDE/>
        <w:autoSpaceDN/>
        <w:bidi w:val="0"/>
        <w:adjustRightInd/>
        <w:snapToGrid/>
        <w:spacing w:line="540" w:lineRule="exact"/>
        <w:jc w:val="center"/>
        <w:textAlignment w:val="auto"/>
        <w:rPr>
          <w:rFonts w:hint="eastAsia" w:ascii="等线" w:hAnsi="等线" w:eastAsia="等线" w:cs="等线"/>
          <w:b/>
          <w:bCs/>
          <w:sz w:val="24"/>
          <w:szCs w:val="24"/>
        </w:rPr>
      </w:pPr>
      <w:r>
        <w:rPr>
          <w:rFonts w:hint="eastAsia" w:ascii="等线" w:hAnsi="等线" w:eastAsia="等线" w:cs="等线"/>
          <w:b/>
          <w:bCs/>
          <w:color w:val="000000"/>
          <w:kern w:val="0"/>
          <w:sz w:val="24"/>
          <w:szCs w:val="24"/>
          <w:lang w:val="en-US" w:eastAsia="zh-CN" w:bidi="ar"/>
        </w:rPr>
        <w:t>商品包装政府采购需求标准（试行）</w:t>
      </w:r>
    </w:p>
    <w:p>
      <w:pPr>
        <w:keepNext w:val="0"/>
        <w:keepLines w:val="0"/>
        <w:pageBreakBefore w:val="0"/>
        <w:widowControl/>
        <w:numPr>
          <w:ilvl w:val="0"/>
          <w:numId w:val="4"/>
        </w:numPr>
        <w:suppressLineNumbers w:val="0"/>
        <w:kinsoku/>
        <w:wordWrap w:val="0"/>
        <w:overflowPunct/>
        <w:topLinePunct w:val="0"/>
        <w:autoSpaceDE/>
        <w:autoSpaceDN/>
        <w:bidi w:val="0"/>
        <w:adjustRightInd/>
        <w:snapToGrid/>
        <w:spacing w:line="540" w:lineRule="exact"/>
        <w:jc w:val="both"/>
        <w:textAlignment w:val="auto"/>
        <w:rPr>
          <w:rFonts w:hint="eastAsia" w:ascii="等线" w:hAnsi="等线" w:eastAsia="等线" w:cs="等线"/>
          <w:color w:val="000000"/>
          <w:kern w:val="0"/>
          <w:sz w:val="24"/>
          <w:szCs w:val="24"/>
          <w:lang w:val="en-US" w:eastAsia="zh-CN" w:bidi="ar"/>
        </w:rPr>
      </w:pPr>
      <w:r>
        <w:rPr>
          <w:rFonts w:hint="eastAsia" w:ascii="等线" w:hAnsi="等线" w:eastAsia="等线" w:cs="等线"/>
          <w:color w:val="000000"/>
          <w:kern w:val="0"/>
          <w:sz w:val="24"/>
          <w:szCs w:val="24"/>
          <w:lang w:val="en-US" w:eastAsia="zh-CN" w:bidi="ar"/>
        </w:rPr>
        <w:t xml:space="preserve">适用范围 </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本标准规定了商品使用的塑料、纸质、木质等包装材料的环保要求。 </w:t>
      </w:r>
    </w:p>
    <w:p>
      <w:pPr>
        <w:keepNext w:val="0"/>
        <w:keepLines w:val="0"/>
        <w:pageBreakBefore w:val="0"/>
        <w:widowControl/>
        <w:suppressLineNumbers w:val="0"/>
        <w:kinsoku/>
        <w:wordWrap w:val="0"/>
        <w:overflowPunct/>
        <w:topLinePunct w:val="0"/>
        <w:autoSpaceDE/>
        <w:autoSpaceDN/>
        <w:bidi w:val="0"/>
        <w:adjustRightInd/>
        <w:snapToGrid/>
        <w:spacing w:line="540" w:lineRule="exact"/>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二、商品包装环保要求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1.商品包装层数不得超过 3 层，空隙率不大于 40%；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2.商品包装尽可能使用单一材质的包装材料，如因功能需求必需使用不同材质，不同材质间应便于分离；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3.商品包装中铅、汞、镉、六价铬的总含量应不大于100mg/kg；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4.商品包装印刷使用的油墨中挥发性有机化合物(VOCs)含量应不大于 5%（以重量计）；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5.塑料材质商品包装上呈现的印刷颜色不得超过6色；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6.纸质商品包装应使用75%以上的可再生纤维原料生产；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color w:val="000000"/>
          <w:kern w:val="0"/>
          <w:sz w:val="24"/>
          <w:szCs w:val="24"/>
          <w:lang w:val="en-US" w:eastAsia="zh-CN" w:bidi="ar"/>
        </w:rPr>
      </w:pPr>
      <w:r>
        <w:rPr>
          <w:rFonts w:hint="eastAsia" w:ascii="等线" w:hAnsi="等线" w:eastAsia="等线" w:cs="等线"/>
          <w:color w:val="000000"/>
          <w:kern w:val="0"/>
          <w:sz w:val="24"/>
          <w:szCs w:val="24"/>
          <w:lang w:val="en-US" w:eastAsia="zh-CN" w:bidi="ar"/>
        </w:rPr>
        <w:t xml:space="preserve">7.木质商品包装的原料应来源于可持续性森林。 </w:t>
      </w:r>
    </w:p>
    <w:p>
      <w:pPr>
        <w:rPr>
          <w:rFonts w:hint="eastAsia" w:ascii="等线" w:hAnsi="等线" w:eastAsia="等线" w:cs="等线"/>
          <w:color w:val="000000"/>
          <w:kern w:val="0"/>
          <w:sz w:val="24"/>
          <w:szCs w:val="24"/>
          <w:lang w:val="en-US" w:eastAsia="zh-CN" w:bidi="ar"/>
        </w:rPr>
      </w:pPr>
      <w:r>
        <w:rPr>
          <w:rFonts w:hint="eastAsia" w:ascii="等线" w:hAnsi="等线" w:eastAsia="等线" w:cs="等线"/>
          <w:color w:val="000000"/>
          <w:kern w:val="0"/>
          <w:sz w:val="24"/>
          <w:szCs w:val="24"/>
          <w:lang w:val="en-US" w:eastAsia="zh-CN" w:bidi="ar"/>
        </w:rPr>
        <w:br w:type="page"/>
      </w:r>
    </w:p>
    <w:p>
      <w:pPr>
        <w:keepNext w:val="0"/>
        <w:keepLines w:val="0"/>
        <w:pageBreakBefore w:val="0"/>
        <w:widowControl/>
        <w:numPr>
          <w:ilvl w:val="3"/>
          <w:numId w:val="1"/>
        </w:numPr>
        <w:kinsoku/>
        <w:overflowPunct/>
        <w:topLinePunct w:val="0"/>
        <w:autoSpaceDE/>
        <w:autoSpaceDN/>
        <w:bidi w:val="0"/>
        <w:adjustRightInd w:val="0"/>
        <w:snapToGrid w:val="0"/>
        <w:spacing w:line="540" w:lineRule="exact"/>
        <w:textAlignment w:val="auto"/>
        <w:rPr>
          <w:rFonts w:hint="eastAsia" w:ascii="等线" w:hAnsi="等线" w:eastAsia="等线" w:cs="等线"/>
          <w:b/>
          <w:color w:val="000000"/>
          <w:kern w:val="0"/>
          <w:sz w:val="24"/>
          <w:szCs w:val="24"/>
        </w:rPr>
      </w:pPr>
      <w:r>
        <w:rPr>
          <w:rFonts w:hint="eastAsia" w:ascii="等线" w:hAnsi="等线" w:eastAsia="等线" w:cs="等线"/>
          <w:b/>
          <w:color w:val="000000"/>
          <w:kern w:val="0"/>
          <w:sz w:val="24"/>
          <w:szCs w:val="24"/>
        </w:rPr>
        <w:t>采购内容及技术要求</w:t>
      </w:r>
    </w:p>
    <w:p>
      <w:pPr>
        <w:keepNext w:val="0"/>
        <w:keepLines w:val="0"/>
        <w:pageBreakBefore w:val="0"/>
        <w:kinsoku/>
        <w:overflowPunct/>
        <w:topLinePunct w:val="0"/>
        <w:autoSpaceDE/>
        <w:autoSpaceDN/>
        <w:bidi w:val="0"/>
        <w:spacing w:line="540" w:lineRule="exact"/>
        <w:textAlignment w:val="auto"/>
        <w:rPr>
          <w:rFonts w:hint="eastAsia" w:ascii="等线" w:hAnsi="等线" w:eastAsia="等线" w:cs="等线"/>
          <w:sz w:val="24"/>
          <w:szCs w:val="24"/>
        </w:rPr>
      </w:pPr>
      <w:r>
        <w:rPr>
          <w:rFonts w:hint="eastAsia" w:ascii="等线" w:hAnsi="等线" w:eastAsia="等线" w:cs="等线"/>
          <w:sz w:val="24"/>
          <w:szCs w:val="24"/>
        </w:rPr>
        <w:t>本项目的核心产品为</w:t>
      </w:r>
      <w:r>
        <w:rPr>
          <w:rFonts w:hint="eastAsia" w:ascii="等线" w:hAnsi="等线" w:eastAsia="等线" w:cs="等线"/>
          <w:color w:val="auto"/>
          <w:sz w:val="24"/>
          <w:szCs w:val="24"/>
        </w:rPr>
        <w:t>：</w:t>
      </w:r>
      <w:r>
        <w:rPr>
          <w:rFonts w:hint="eastAsia" w:ascii="等线" w:hAnsi="等线" w:eastAsia="等线" w:cs="等线"/>
          <w:color w:val="auto"/>
          <w:sz w:val="24"/>
          <w:szCs w:val="24"/>
          <w:u w:val="single"/>
        </w:rPr>
        <w:t xml:space="preserve"> </w:t>
      </w:r>
      <w:r>
        <w:rPr>
          <w:rFonts w:hint="eastAsia" w:ascii="等线" w:hAnsi="等线" w:eastAsia="等线" w:cs="等线"/>
          <w:color w:val="auto"/>
          <w:sz w:val="24"/>
          <w:szCs w:val="24"/>
          <w:u w:val="single"/>
          <w:lang w:val="en-US" w:eastAsia="zh-CN"/>
        </w:rPr>
        <w:t>收割机</w:t>
      </w:r>
      <w:r>
        <w:rPr>
          <w:rFonts w:hint="eastAsia" w:ascii="等线" w:hAnsi="等线" w:eastAsia="等线" w:cs="等线"/>
          <w:color w:val="auto"/>
          <w:sz w:val="24"/>
          <w:szCs w:val="24"/>
          <w:u w:val="single"/>
        </w:rPr>
        <w:t xml:space="preserve">  </w:t>
      </w:r>
      <w:r>
        <w:rPr>
          <w:rFonts w:hint="eastAsia" w:ascii="等线" w:hAnsi="等线" w:eastAsia="等线" w:cs="等线"/>
          <w:color w:val="auto"/>
          <w:sz w:val="24"/>
          <w:szCs w:val="24"/>
        </w:rPr>
        <w:t>（</w:t>
      </w:r>
      <w:r>
        <w:rPr>
          <w:rFonts w:hint="eastAsia" w:ascii="等线" w:hAnsi="等线" w:eastAsia="等线" w:cs="等线"/>
          <w:sz w:val="24"/>
          <w:szCs w:val="24"/>
        </w:rPr>
        <w:t>核心产品仅适用于本项目</w:t>
      </w:r>
      <w:r>
        <w:rPr>
          <w:rFonts w:hint="eastAsia" w:ascii="等线" w:hAnsi="等线" w:eastAsia="等线" w:cs="等线"/>
          <w:bCs/>
          <w:sz w:val="24"/>
          <w:szCs w:val="24"/>
        </w:rPr>
        <w:t>同一品牌的认定，同一品牌的认定详见投标人须知</w:t>
      </w:r>
      <w:r>
        <w:rPr>
          <w:rFonts w:hint="eastAsia" w:ascii="等线" w:hAnsi="等线" w:eastAsia="等线" w:cs="等线"/>
          <w:sz w:val="24"/>
          <w:szCs w:val="24"/>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400"/>
        <w:gridCol w:w="5140"/>
        <w:gridCol w:w="1139"/>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0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rPr>
            </w:pPr>
            <w:r>
              <w:rPr>
                <w:rFonts w:hint="eastAsia" w:ascii="等线" w:hAnsi="等线" w:eastAsia="等线" w:cs="等线"/>
                <w:bCs/>
                <w:color w:val="000000"/>
                <w:kern w:val="0"/>
                <w:sz w:val="24"/>
                <w:szCs w:val="24"/>
              </w:rPr>
              <w:t>序号</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产品名称</w:t>
            </w:r>
          </w:p>
        </w:tc>
        <w:tc>
          <w:tcPr>
            <w:tcW w:w="5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rPr>
            </w:pPr>
            <w:r>
              <w:rPr>
                <w:rFonts w:hint="eastAsia" w:ascii="等线" w:hAnsi="等线" w:eastAsia="等线" w:cs="等线"/>
                <w:bCs/>
                <w:color w:val="000000"/>
                <w:kern w:val="0"/>
                <w:sz w:val="24"/>
                <w:szCs w:val="24"/>
              </w:rPr>
              <w:t>主要技术参数、性能、配置等要求</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rPr>
            </w:pPr>
            <w:r>
              <w:rPr>
                <w:rFonts w:hint="eastAsia" w:ascii="等线" w:hAnsi="等线" w:eastAsia="等线" w:cs="等线"/>
                <w:bCs/>
                <w:color w:val="000000"/>
                <w:kern w:val="0"/>
                <w:sz w:val="24"/>
                <w:szCs w:val="24"/>
              </w:rPr>
              <w:t>数量/单位</w:t>
            </w:r>
          </w:p>
        </w:tc>
        <w:tc>
          <w:tcPr>
            <w:tcW w:w="11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rPr>
            </w:pPr>
            <w:r>
              <w:rPr>
                <w:rFonts w:hint="eastAsia" w:ascii="等线" w:hAnsi="等线" w:eastAsia="等线" w:cs="等线"/>
                <w:bCs/>
                <w:color w:val="000000"/>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trPr>
        <w:tc>
          <w:tcPr>
            <w:tcW w:w="10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1</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lang w:val="en-US" w:eastAsia="zh-CN"/>
              </w:rPr>
              <w:t>拖拉机及配套旋耕机</w:t>
            </w:r>
          </w:p>
        </w:tc>
        <w:tc>
          <w:tcPr>
            <w:tcW w:w="5140" w:type="dxa"/>
            <w:tcBorders>
              <w:top w:val="single" w:color="auto" w:sz="4" w:space="0"/>
              <w:left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b/>
                <w:bCs/>
                <w:color w:val="000000"/>
                <w:kern w:val="0"/>
                <w:sz w:val="24"/>
                <w:szCs w:val="24"/>
                <w:lang w:val="en-US" w:eastAsia="zh-CN"/>
              </w:rPr>
            </w:pPr>
          </w:p>
          <w:p>
            <w:pPr>
              <w:keepNext w:val="0"/>
              <w:keepLines w:val="0"/>
              <w:pageBreakBefore w:val="0"/>
              <w:widowControl/>
              <w:numPr>
                <w:ilvl w:val="0"/>
                <w:numId w:val="5"/>
              </w:numPr>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拖拉机</w:t>
            </w:r>
            <w:r>
              <w:rPr>
                <w:rFonts w:hint="eastAsia" w:cs="等线"/>
                <w:color w:val="000000"/>
                <w:kern w:val="0"/>
                <w:sz w:val="24"/>
                <w:szCs w:val="24"/>
                <w:lang w:val="en-US" w:eastAsia="zh-CN"/>
              </w:rPr>
              <w:t>配置</w:t>
            </w:r>
            <w:r>
              <w:rPr>
                <w:rFonts w:hint="eastAsia" w:ascii="等线" w:hAnsi="等线" w:eastAsia="等线" w:cs="等线"/>
                <w:color w:val="000000"/>
                <w:kern w:val="0"/>
                <w:sz w:val="24"/>
                <w:szCs w:val="24"/>
                <w:lang w:val="en-US" w:eastAsia="zh-CN"/>
              </w:rPr>
              <w:t>：</w:t>
            </w:r>
          </w:p>
          <w:p>
            <w:pPr>
              <w:keepNext w:val="0"/>
              <w:keepLines w:val="0"/>
              <w:pageBreakBefore w:val="0"/>
              <w:widowControl/>
              <w:numPr>
                <w:ilvl w:val="0"/>
                <w:numId w:val="0"/>
              </w:numPr>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（1）最小使用质量(kg):不小于52</w:t>
            </w:r>
            <w:r>
              <w:rPr>
                <w:rFonts w:hint="eastAsia" w:cs="等线"/>
                <w:color w:val="000000"/>
                <w:kern w:val="0"/>
                <w:sz w:val="24"/>
                <w:szCs w:val="24"/>
                <w:lang w:val="en-US" w:eastAsia="zh-CN"/>
              </w:rPr>
              <w:t>8</w:t>
            </w:r>
            <w:r>
              <w:rPr>
                <w:rFonts w:hint="eastAsia" w:ascii="等线" w:hAnsi="等线" w:eastAsia="等线" w:cs="等线"/>
                <w:color w:val="000000"/>
                <w:kern w:val="0"/>
                <w:sz w:val="24"/>
                <w:szCs w:val="24"/>
                <w:lang w:val="en-US" w:eastAsia="zh-CN"/>
              </w:rPr>
              <w:t>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（2）最大配重质量前/后(kg):400/300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（3）发动机：①型式:六缸、直列、增压；②标定功率(kW):不小于110；③额定转速(r/min):2200。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（4）变速箱档数前进/倒退:12F+4R</w:t>
            </w:r>
          </w:p>
          <w:p>
            <w:pPr>
              <w:keepNext w:val="0"/>
              <w:keepLines w:val="0"/>
              <w:pageBreakBefore w:val="0"/>
              <w:widowControl/>
              <w:kinsoku/>
              <w:overflowPunct/>
              <w:topLinePunct w:val="0"/>
              <w:autoSpaceDE/>
              <w:autoSpaceDN/>
              <w:bidi w:val="0"/>
              <w:spacing w:line="540" w:lineRule="exact"/>
              <w:jc w:val="left"/>
              <w:textAlignment w:val="auto"/>
              <w:rPr>
                <w:rFonts w:hint="default"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（5）速度范围：①前进(km/h):2.</w:t>
            </w:r>
            <w:r>
              <w:rPr>
                <w:rFonts w:hint="eastAsia" w:cs="等线"/>
                <w:color w:val="000000"/>
                <w:kern w:val="0"/>
                <w:sz w:val="24"/>
                <w:szCs w:val="24"/>
                <w:lang w:val="en-US" w:eastAsia="zh-CN"/>
              </w:rPr>
              <w:t>25</w:t>
            </w:r>
            <w:r>
              <w:rPr>
                <w:rFonts w:hint="eastAsia" w:ascii="等线" w:hAnsi="等线" w:eastAsia="等线" w:cs="等线"/>
                <w:color w:val="000000"/>
                <w:kern w:val="0"/>
                <w:sz w:val="24"/>
                <w:szCs w:val="24"/>
                <w:lang w:val="en-US" w:eastAsia="zh-CN"/>
              </w:rPr>
              <w:t>-</w:t>
            </w:r>
            <w:r>
              <w:rPr>
                <w:rFonts w:hint="eastAsia" w:cs="等线"/>
                <w:color w:val="000000"/>
                <w:kern w:val="0"/>
                <w:sz w:val="24"/>
                <w:szCs w:val="24"/>
                <w:lang w:val="en-US" w:eastAsia="zh-CN"/>
              </w:rPr>
              <w:t>30.55</w:t>
            </w:r>
            <w:r>
              <w:rPr>
                <w:rFonts w:hint="eastAsia" w:ascii="等线" w:hAnsi="等线" w:eastAsia="等线" w:cs="等线"/>
                <w:color w:val="000000"/>
                <w:kern w:val="0"/>
                <w:sz w:val="24"/>
                <w:szCs w:val="24"/>
                <w:lang w:val="en-US" w:eastAsia="zh-CN"/>
              </w:rPr>
              <w:t>；②倒退(km/h):4.</w:t>
            </w:r>
            <w:r>
              <w:rPr>
                <w:rFonts w:hint="eastAsia" w:cs="等线"/>
                <w:color w:val="000000"/>
                <w:kern w:val="0"/>
                <w:sz w:val="24"/>
                <w:szCs w:val="24"/>
                <w:lang w:val="en-US" w:eastAsia="zh-CN"/>
              </w:rPr>
              <w:t>85</w:t>
            </w:r>
            <w:r>
              <w:rPr>
                <w:rFonts w:hint="eastAsia" w:ascii="等线" w:hAnsi="等线" w:eastAsia="等线" w:cs="等线"/>
                <w:color w:val="000000"/>
                <w:kern w:val="0"/>
                <w:sz w:val="24"/>
                <w:szCs w:val="24"/>
                <w:lang w:val="en-US" w:eastAsia="zh-CN"/>
              </w:rPr>
              <w:t>-1</w:t>
            </w:r>
            <w:r>
              <w:rPr>
                <w:rFonts w:hint="eastAsia" w:cs="等线"/>
                <w:color w:val="000000"/>
                <w:kern w:val="0"/>
                <w:sz w:val="24"/>
                <w:szCs w:val="24"/>
                <w:lang w:val="en-US" w:eastAsia="zh-CN"/>
              </w:rPr>
              <w:t>4.26</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（6）轮胎规格：①前轮:1</w:t>
            </w:r>
            <w:r>
              <w:rPr>
                <w:rFonts w:hint="eastAsia" w:cs="等线"/>
                <w:color w:val="000000"/>
                <w:kern w:val="0"/>
                <w:sz w:val="24"/>
                <w:szCs w:val="24"/>
                <w:lang w:val="en-US" w:eastAsia="zh-CN"/>
              </w:rPr>
              <w:t>4.9</w:t>
            </w:r>
            <w:r>
              <w:rPr>
                <w:rFonts w:hint="eastAsia" w:ascii="等线" w:hAnsi="等线" w:eastAsia="等线" w:cs="等线"/>
                <w:color w:val="000000"/>
                <w:kern w:val="0"/>
                <w:sz w:val="24"/>
                <w:szCs w:val="24"/>
                <w:lang w:val="en-US" w:eastAsia="zh-CN"/>
              </w:rPr>
              <w:t>-26；②后轮:1</w:t>
            </w:r>
            <w:r>
              <w:rPr>
                <w:rFonts w:hint="eastAsia" w:cs="等线"/>
                <w:color w:val="000000"/>
                <w:kern w:val="0"/>
                <w:sz w:val="24"/>
                <w:szCs w:val="24"/>
                <w:lang w:val="en-US" w:eastAsia="zh-CN"/>
              </w:rPr>
              <w:t>8.4</w:t>
            </w:r>
            <w:r>
              <w:rPr>
                <w:rFonts w:hint="eastAsia" w:ascii="等线" w:hAnsi="等线" w:eastAsia="等线" w:cs="等线"/>
                <w:color w:val="000000"/>
                <w:kern w:val="0"/>
                <w:sz w:val="24"/>
                <w:szCs w:val="24"/>
                <w:lang w:val="en-US" w:eastAsia="zh-CN"/>
              </w:rPr>
              <w:t>-38。</w:t>
            </w:r>
          </w:p>
          <w:p>
            <w:pPr>
              <w:keepNext w:val="0"/>
              <w:keepLines w:val="0"/>
              <w:pageBreakBefore w:val="0"/>
              <w:widowControl/>
              <w:kinsoku/>
              <w:overflowPunct/>
              <w:topLinePunct w:val="0"/>
              <w:autoSpaceDE/>
              <w:autoSpaceDN/>
              <w:bidi w:val="0"/>
              <w:spacing w:line="540" w:lineRule="exact"/>
              <w:jc w:val="left"/>
              <w:textAlignment w:val="auto"/>
              <w:rPr>
                <w:rFonts w:hint="default"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（7）前轮轮距(可调)(mm):1</w:t>
            </w:r>
            <w:r>
              <w:rPr>
                <w:rFonts w:hint="eastAsia" w:cs="等线"/>
                <w:color w:val="000000"/>
                <w:kern w:val="0"/>
                <w:sz w:val="24"/>
                <w:szCs w:val="24"/>
                <w:lang w:val="en-US" w:eastAsia="zh-CN"/>
              </w:rPr>
              <w:t>818</w:t>
            </w:r>
            <w:r>
              <w:rPr>
                <w:rFonts w:hint="eastAsia" w:ascii="等线" w:hAnsi="等线" w:eastAsia="等线" w:cs="等线"/>
                <w:color w:val="000000"/>
                <w:kern w:val="0"/>
                <w:sz w:val="24"/>
                <w:szCs w:val="24"/>
                <w:lang w:val="en-US" w:eastAsia="zh-CN"/>
              </w:rPr>
              <w:t>-2</w:t>
            </w:r>
            <w:r>
              <w:rPr>
                <w:rFonts w:hint="eastAsia" w:cs="等线"/>
                <w:color w:val="000000"/>
                <w:kern w:val="0"/>
                <w:sz w:val="24"/>
                <w:szCs w:val="24"/>
                <w:lang w:val="en-US" w:eastAsia="zh-CN"/>
              </w:rPr>
              <w:t>058</w:t>
            </w:r>
          </w:p>
          <w:p>
            <w:pPr>
              <w:keepNext w:val="0"/>
              <w:keepLines w:val="0"/>
              <w:pageBreakBefore w:val="0"/>
              <w:widowControl/>
              <w:kinsoku/>
              <w:overflowPunct/>
              <w:topLinePunct w:val="0"/>
              <w:autoSpaceDE/>
              <w:autoSpaceDN/>
              <w:bidi w:val="0"/>
              <w:spacing w:line="540" w:lineRule="exact"/>
              <w:jc w:val="left"/>
              <w:textAlignment w:val="auto"/>
              <w:rPr>
                <w:rFonts w:hint="default"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（8）后轮轮距(可调)(mm):1</w:t>
            </w:r>
            <w:r>
              <w:rPr>
                <w:rFonts w:hint="eastAsia" w:cs="等线"/>
                <w:color w:val="000000"/>
                <w:kern w:val="0"/>
                <w:sz w:val="24"/>
                <w:szCs w:val="24"/>
                <w:lang w:val="en-US" w:eastAsia="zh-CN"/>
              </w:rPr>
              <w:t>780</w:t>
            </w:r>
            <w:r>
              <w:rPr>
                <w:rFonts w:hint="eastAsia" w:ascii="等线" w:hAnsi="等线" w:eastAsia="等线" w:cs="等线"/>
                <w:color w:val="000000"/>
                <w:kern w:val="0"/>
                <w:sz w:val="24"/>
                <w:szCs w:val="24"/>
                <w:lang w:val="en-US" w:eastAsia="zh-CN"/>
              </w:rPr>
              <w:t>-2</w:t>
            </w:r>
            <w:r>
              <w:rPr>
                <w:rFonts w:hint="eastAsia" w:cs="等线"/>
                <w:color w:val="000000"/>
                <w:kern w:val="0"/>
                <w:sz w:val="24"/>
                <w:szCs w:val="24"/>
                <w:lang w:val="en-US" w:eastAsia="zh-CN"/>
              </w:rPr>
              <w:t>180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（9）最小离地间隙(mm):≥470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（10）最小转向圆半径(m):≤6.7</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（11）动力输出轴型式:后置、独立式</w:t>
            </w:r>
          </w:p>
          <w:p>
            <w:pPr>
              <w:keepNext w:val="0"/>
              <w:keepLines w:val="0"/>
              <w:pageBreakBefore w:val="0"/>
              <w:widowControl/>
              <w:kinsoku/>
              <w:overflowPunct/>
              <w:topLinePunct w:val="0"/>
              <w:autoSpaceDE/>
              <w:autoSpaceDN/>
              <w:bidi w:val="0"/>
              <w:spacing w:line="540" w:lineRule="exact"/>
              <w:jc w:val="left"/>
              <w:textAlignment w:val="auto"/>
              <w:rPr>
                <w:rFonts w:hint="default"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（12）动力输出轴功率(kW):≥</w:t>
            </w:r>
            <w:r>
              <w:rPr>
                <w:rFonts w:hint="eastAsia" w:cs="等线"/>
                <w:color w:val="000000"/>
                <w:kern w:val="0"/>
                <w:sz w:val="24"/>
                <w:szCs w:val="24"/>
                <w:lang w:val="en-US" w:eastAsia="zh-CN"/>
              </w:rPr>
              <w:t>93.8</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（13）耕深控制方式:位控制、浮动控制</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cs="等线"/>
                <w:color w:val="000000"/>
                <w:kern w:val="0"/>
                <w:sz w:val="24"/>
                <w:szCs w:val="24"/>
                <w:lang w:val="en-US" w:eastAsia="zh-CN"/>
              </w:rPr>
              <w:t>（14）</w:t>
            </w:r>
            <w:bookmarkStart w:id="3" w:name="_GoBack"/>
            <w:bookmarkEnd w:id="3"/>
            <w:r>
              <w:rPr>
                <w:rFonts w:hint="eastAsia" w:cs="等线"/>
                <w:color w:val="000000"/>
                <w:kern w:val="0"/>
                <w:sz w:val="24"/>
                <w:szCs w:val="24"/>
                <w:lang w:val="en-US" w:eastAsia="zh-CN"/>
              </w:rPr>
              <w:t>驾驶室</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2、旋耕机要求:旋耕机耕幅(mm):≥2600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（1）整机尺寸:2650×580×850   注:偏差范围:±2mm</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（2）耕幅mm:≥2600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（3）配套动力kw:90-100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（4）选用转速r/min:540/720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（5）刀轴速度r/min:274/284</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（6）整机重量kg:404</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（7）耕深cm:15-22</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（8）弯刀：①型式:1T245-G；②数量(把):52。</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（9）传动方式:双侧齿轮传动</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lang w:val="en-US" w:eastAsia="zh-CN"/>
              </w:rPr>
              <w:t>（10）挂接方式:三点悬挂</w:t>
            </w:r>
          </w:p>
        </w:tc>
        <w:tc>
          <w:tcPr>
            <w:tcW w:w="1139" w:type="dxa"/>
            <w:tcBorders>
              <w:top w:val="single" w:color="auto" w:sz="4" w:space="0"/>
              <w:left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r>
              <w:rPr>
                <w:rFonts w:hint="eastAsia" w:ascii="等线" w:hAnsi="等线" w:eastAsia="等线" w:cs="等线"/>
                <w:bCs/>
                <w:color w:val="000000"/>
                <w:kern w:val="0"/>
                <w:sz w:val="24"/>
                <w:szCs w:val="24"/>
                <w:lang w:val="en-US" w:eastAsia="zh-CN"/>
              </w:rPr>
              <w:t>3/套</w:t>
            </w:r>
          </w:p>
        </w:tc>
        <w:tc>
          <w:tcPr>
            <w:tcW w:w="1196" w:type="dxa"/>
            <w:tcBorders>
              <w:top w:val="single" w:color="auto" w:sz="4" w:space="0"/>
              <w:left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10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2</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lang w:val="en-US" w:eastAsia="zh-CN"/>
              </w:rPr>
              <w:t>收割机</w:t>
            </w:r>
          </w:p>
        </w:tc>
        <w:tc>
          <w:tcPr>
            <w:tcW w:w="5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（1）规格：半喂入联合收割机</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（2）质量（重量）：≥3110Kg</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（3）发动机：①种类:4缸水冷直喷式柴油机；②标定功率L/KW(ps):&gt;44.1(60)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（4）履带宽*接地长:≥450*1480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（5）变速方式*变速档数:液压式无级变速(HST)*副变速3档</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（6）行驶速度(前进)低速、标准、移动：m/s:0-1.01/0-1.65/0-2.05</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（7）割幅(mm):≥1400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（8）脱粒方式:轴流式二次脱粒+枝梗处理筒</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（9）清选方式:振动、鼓风、吸引</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（10）出粮口及卸粮方式/容量:高位液压自卸方式/1000/小于2分30秒</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（11）输粮管长度(mm):≥3400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（12）排粮高度/排粮长度(mm)：1015-4215/0-2785</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lang w:val="en-US" w:eastAsia="zh-CN"/>
              </w:rPr>
              <w:t>（13）作业效率*亩/小时:7.5</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r>
              <w:rPr>
                <w:rFonts w:hint="eastAsia" w:ascii="等线" w:hAnsi="等线" w:eastAsia="等线" w:cs="等线"/>
                <w:bCs/>
                <w:color w:val="000000"/>
                <w:kern w:val="0"/>
                <w:sz w:val="24"/>
                <w:szCs w:val="24"/>
                <w:lang w:val="en-US" w:eastAsia="zh-CN"/>
              </w:rPr>
              <w:t>6/台</w:t>
            </w:r>
          </w:p>
        </w:tc>
        <w:tc>
          <w:tcPr>
            <w:tcW w:w="11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3</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水稻插秧机</w:t>
            </w:r>
          </w:p>
        </w:tc>
        <w:tc>
          <w:tcPr>
            <w:tcW w:w="5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（1）类型：六行乘坐式高速插秧机。</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（2）整机质量（kg）:≥800。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（3）发动机：①结构形式：水冷4冲程3缸柴油发动机；②标定功率（kw｛ps｝）：≥15.4｛20.9｝；③燃油箱容量（L）：≥37。</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（4）行走部：①变速方式：HMT；②变速档数：前进2后退1。</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5）插值部：①插值行数(行):6；②插值行距(cm):30；③插值株距(cm):22/18/16/14/12/10；④插值株数(株/3.3m2)：50/60/70/80/90/105；⑤插值深度(mm):5-60（6挡+自动）；⑥载秧台控制平衡方式:电子液压平衡（手动微调+自动）。</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lang w:val="en-US" w:eastAsia="zh-CN"/>
              </w:rPr>
              <w:t>（6）作业效率(亩/小时):0-9</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r>
              <w:rPr>
                <w:rFonts w:hint="eastAsia" w:ascii="等线" w:hAnsi="等线" w:eastAsia="等线" w:cs="等线"/>
                <w:bCs/>
                <w:color w:val="000000"/>
                <w:kern w:val="0"/>
                <w:sz w:val="24"/>
                <w:szCs w:val="24"/>
                <w:lang w:val="en-US" w:eastAsia="zh-CN"/>
              </w:rPr>
              <w:t>5/台</w:t>
            </w:r>
          </w:p>
        </w:tc>
        <w:tc>
          <w:tcPr>
            <w:tcW w:w="11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2" w:hRule="atLeast"/>
        </w:trPr>
        <w:tc>
          <w:tcPr>
            <w:tcW w:w="10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4</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撒肥机</w:t>
            </w:r>
          </w:p>
        </w:tc>
        <w:tc>
          <w:tcPr>
            <w:tcW w:w="5140" w:type="dxa"/>
            <w:tcBorders>
              <w:top w:val="single" w:color="auto" w:sz="4" w:space="0"/>
              <w:left w:val="single" w:color="auto" w:sz="4" w:space="0"/>
              <w:bottom w:val="single" w:color="auto" w:sz="4" w:space="0"/>
              <w:right w:val="single" w:color="auto" w:sz="4" w:space="0"/>
            </w:tcBorders>
            <w:noWrap w:val="0"/>
            <w:vAlign w:val="center"/>
          </w:tcPr>
          <w:tbl>
            <w:tblPr>
              <w:tblStyle w:val="7"/>
              <w:tblpPr w:leftFromText="180" w:rightFromText="180" w:vertAnchor="text" w:horzAnchor="page" w:tblpXSpec="center" w:tblpY="1140"/>
              <w:tblOverlap w:val="never"/>
              <w:tblW w:w="5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容积(m³)</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最大载重（kg）</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整机重量（kg）</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3900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撒播幅宽（m）</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整机尺寸(mm)</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7400×2700×2400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料斗尺寸(mm)</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4965×1940×1595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撒肥形式</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立式双绞龙后抛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单绞龙叶片数（片）</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25（含撒肥盘风叶3片）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绞龙直径（mm）</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安装方向</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垂直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牵引长度(mm)</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1550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最小离地高度(mm)</w:t>
                  </w:r>
                </w:p>
              </w:tc>
              <w:tc>
                <w:tcPr>
                  <w:tcW w:w="2720" w:type="dxa"/>
                  <w:noWrap w:val="0"/>
                  <w:vAlign w:val="top"/>
                </w:tcPr>
                <w:p>
                  <w:pPr>
                    <w:ind w:firstLine="1440" w:firstLineChars="600"/>
                    <w:rPr>
                      <w:rFonts w:hint="eastAsia" w:ascii="等线" w:hAnsi="等线" w:eastAsia="等线" w:cs="等线"/>
                      <w:kern w:val="0"/>
                      <w:sz w:val="24"/>
                      <w:szCs w:val="24"/>
                    </w:rPr>
                  </w:pPr>
                  <w:r>
                    <w:rPr>
                      <w:rFonts w:hint="eastAsia" w:ascii="等线" w:hAnsi="等线" w:eastAsia="等线" w:cs="等线"/>
                      <w:kern w:val="0"/>
                      <w:sz w:val="24"/>
                      <w:szCs w:val="24"/>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输送链排宽度（mm）</w:t>
                  </w:r>
                </w:p>
              </w:tc>
              <w:tc>
                <w:tcPr>
                  <w:tcW w:w="2720" w:type="dxa"/>
                  <w:noWrap w:val="0"/>
                  <w:vAlign w:val="top"/>
                </w:tcPr>
                <w:p>
                  <w:pPr>
                    <w:ind w:firstLine="1440" w:firstLineChars="600"/>
                    <w:rPr>
                      <w:rFonts w:hint="eastAsia" w:ascii="等线" w:hAnsi="等线" w:eastAsia="等线" w:cs="等线"/>
                      <w:kern w:val="0"/>
                      <w:sz w:val="24"/>
                      <w:szCs w:val="24"/>
                    </w:rPr>
                  </w:pPr>
                  <w:r>
                    <w:rPr>
                      <w:rFonts w:hint="eastAsia" w:ascii="等线" w:hAnsi="等线" w:eastAsia="等线" w:cs="等线"/>
                      <w:kern w:val="0"/>
                      <w:sz w:val="24"/>
                      <w:szCs w:val="24"/>
                    </w:rPr>
                    <w:t>1250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轮胎中心距(mm)</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轮胎直径(mm)</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1172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农业专用轮胎型号</w:t>
                  </w:r>
                </w:p>
              </w:tc>
              <w:tc>
                <w:tcPr>
                  <w:tcW w:w="2720" w:type="dxa"/>
                  <w:noWrap w:val="0"/>
                  <w:vAlign w:val="top"/>
                </w:tcPr>
                <w:p>
                  <w:pPr>
                    <w:ind w:firstLine="720" w:firstLineChars="300"/>
                    <w:rPr>
                      <w:rFonts w:hint="eastAsia" w:ascii="等线" w:hAnsi="等线" w:eastAsia="等线" w:cs="等线"/>
                      <w:kern w:val="0"/>
                      <w:sz w:val="24"/>
                      <w:szCs w:val="24"/>
                    </w:rPr>
                  </w:pPr>
                  <w:r>
                    <w:rPr>
                      <w:rFonts w:hint="eastAsia" w:ascii="等线" w:hAnsi="等线" w:eastAsia="等线" w:cs="等线"/>
                      <w:kern w:val="0"/>
                      <w:sz w:val="24"/>
                      <w:szCs w:val="24"/>
                    </w:rPr>
                    <w:t>500/60-22.5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驱动方式</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PTO（传动轴）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动力输入转速（rpm）</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抛撒效率（m³/h）</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建议配套动力（hp）</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75-140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配套动力（kw）</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输送方式</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高强度圆环链排传动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输送控制方式</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液压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行驶速度（km/h）</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作业速度（km/h）</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挂接形式</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牵引式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主要螺栓等级</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输送主动轴材质</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40Cr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配套液压系统压力</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16MPa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配套液压系统流量</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≥60LPM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液压接口数量</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液压油缸数量</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马达数量</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安全警示装置</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刹车尾灯+3M警示贴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保护装置</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过载保护器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vMerge w:val="restart"/>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车桥轴截面边长（mm）</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90(半桥焊接)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2481" w:type="dxa"/>
                  <w:vMerge w:val="continue"/>
                  <w:noWrap w:val="0"/>
                  <w:vAlign w:val="top"/>
                </w:tcPr>
                <w:p>
                  <w:pPr>
                    <w:jc w:val="left"/>
                    <w:rPr>
                      <w:rFonts w:hint="eastAsia" w:ascii="等线" w:hAnsi="等线" w:eastAsia="等线" w:cs="等线"/>
                      <w:kern w:val="0"/>
                      <w:sz w:val="24"/>
                      <w:szCs w:val="24"/>
                    </w:rPr>
                  </w:pP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90（带刹车是应为全桥）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刹车装置（可选）</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液压+手刹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2481" w:type="dxa"/>
                  <w:noWrap w:val="0"/>
                  <w:vAlign w:val="top"/>
                </w:tcPr>
                <w:p>
                  <w:pPr>
                    <w:jc w:val="left"/>
                    <w:rPr>
                      <w:rFonts w:hint="eastAsia" w:ascii="等线" w:hAnsi="等线" w:eastAsia="等线" w:cs="等线"/>
                      <w:kern w:val="0"/>
                      <w:sz w:val="24"/>
                      <w:szCs w:val="24"/>
                    </w:rPr>
                  </w:pPr>
                  <w:r>
                    <w:rPr>
                      <w:rFonts w:hint="eastAsia" w:ascii="等线" w:hAnsi="等线" w:eastAsia="等线" w:cs="等线"/>
                      <w:kern w:val="0"/>
                      <w:sz w:val="24"/>
                      <w:szCs w:val="24"/>
                    </w:rPr>
                    <w:t>车体工艺</w:t>
                  </w:r>
                </w:p>
              </w:tc>
              <w:tc>
                <w:tcPr>
                  <w:tcW w:w="2720" w:type="dxa"/>
                  <w:noWrap w:val="0"/>
                  <w:vAlign w:val="top"/>
                </w:tcPr>
                <w:p>
                  <w:pPr>
                    <w:jc w:val="center"/>
                    <w:rPr>
                      <w:rFonts w:hint="eastAsia" w:ascii="等线" w:hAnsi="等线" w:eastAsia="等线" w:cs="等线"/>
                      <w:kern w:val="0"/>
                      <w:sz w:val="24"/>
                      <w:szCs w:val="24"/>
                    </w:rPr>
                  </w:pPr>
                  <w:r>
                    <w:rPr>
                      <w:rFonts w:hint="eastAsia" w:ascii="等线" w:hAnsi="等线" w:eastAsia="等线" w:cs="等线"/>
                      <w:kern w:val="0"/>
                      <w:sz w:val="24"/>
                      <w:szCs w:val="24"/>
                    </w:rPr>
                    <w:t>喷砂防腐蚀</w:t>
                  </w:r>
                </w:p>
              </w:tc>
            </w:tr>
          </w:tbl>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rPr>
            </w:pPr>
          </w:p>
        </w:tc>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r>
              <w:rPr>
                <w:rFonts w:hint="eastAsia" w:ascii="等线" w:hAnsi="等线" w:eastAsia="等线" w:cs="等线"/>
                <w:bCs/>
                <w:color w:val="000000"/>
                <w:kern w:val="0"/>
                <w:sz w:val="24"/>
                <w:szCs w:val="24"/>
                <w:lang w:val="en-US" w:eastAsia="zh-CN"/>
              </w:rPr>
              <w:t>1台</w:t>
            </w:r>
          </w:p>
        </w:tc>
        <w:tc>
          <w:tcPr>
            <w:tcW w:w="11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10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5</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卫星平地机</w:t>
            </w:r>
          </w:p>
        </w:tc>
        <w:tc>
          <w:tcPr>
            <w:tcW w:w="5140" w:type="dxa"/>
            <w:tcBorders>
              <w:top w:val="single" w:color="auto" w:sz="4" w:space="0"/>
              <w:left w:val="single" w:color="auto" w:sz="4" w:space="0"/>
              <w:bottom w:val="single" w:color="auto" w:sz="4" w:space="0"/>
              <w:right w:val="single" w:color="auto" w:sz="4" w:space="0"/>
            </w:tcBorders>
            <w:noWrap w:val="0"/>
            <w:vAlign w:val="center"/>
          </w:tcPr>
          <w:tbl>
            <w:tblPr>
              <w:tblStyle w:val="7"/>
              <w:tblpPr w:leftFromText="180" w:rightFromText="180" w:vertAnchor="page" w:horzAnchor="page" w:tblpX="1308" w:tblpY="-537"/>
              <w:tblOverlap w:val="never"/>
              <w:tblW w:w="52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496"/>
              <w:gridCol w:w="798"/>
              <w:gridCol w:w="625"/>
              <w:gridCol w:w="647"/>
              <w:gridCol w:w="1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45"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序号</w:t>
                  </w:r>
                </w:p>
              </w:tc>
              <w:tc>
                <w:tcPr>
                  <w:tcW w:w="1919" w:type="dxa"/>
                  <w:gridSpan w:val="3"/>
                  <w:noWrap w:val="0"/>
                  <w:vAlign w:val="center"/>
                </w:tcPr>
                <w:p>
                  <w:pPr>
                    <w:ind w:firstLine="440" w:firstLineChars="200"/>
                    <w:jc w:val="both"/>
                    <w:rPr>
                      <w:rFonts w:hint="eastAsia" w:ascii="等线" w:hAnsi="等线" w:eastAsia="等线" w:cs="等线"/>
                      <w:sz w:val="22"/>
                      <w:szCs w:val="22"/>
                      <w:vertAlign w:val="baseline"/>
                      <w:lang w:eastAsia="zh-CN"/>
                    </w:rPr>
                  </w:pPr>
                  <w:r>
                    <w:rPr>
                      <w:rFonts w:hint="eastAsia" w:ascii="等线" w:hAnsi="等线" w:eastAsia="等线" w:cs="等线"/>
                      <w:sz w:val="22"/>
                      <w:szCs w:val="22"/>
                      <w:vertAlign w:val="baseline"/>
                      <w:lang w:eastAsia="zh-CN"/>
                    </w:rPr>
                    <w:t>项目</w:t>
                  </w:r>
                </w:p>
              </w:tc>
              <w:tc>
                <w:tcPr>
                  <w:tcW w:w="647" w:type="dxa"/>
                  <w:noWrap w:val="0"/>
                  <w:vAlign w:val="center"/>
                </w:tcPr>
                <w:p>
                  <w:pPr>
                    <w:jc w:val="center"/>
                    <w:rPr>
                      <w:rFonts w:hint="eastAsia" w:ascii="等线" w:hAnsi="等线" w:eastAsia="等线" w:cs="等线"/>
                      <w:sz w:val="22"/>
                      <w:szCs w:val="22"/>
                      <w:vertAlign w:val="baseline"/>
                      <w:lang w:eastAsia="zh-CN"/>
                    </w:rPr>
                  </w:pPr>
                  <w:r>
                    <w:rPr>
                      <w:rFonts w:hint="eastAsia" w:ascii="等线" w:hAnsi="等线" w:eastAsia="等线" w:cs="等线"/>
                      <w:sz w:val="22"/>
                      <w:szCs w:val="22"/>
                      <w:vertAlign w:val="baseline"/>
                      <w:lang w:eastAsia="zh-CN"/>
                    </w:rPr>
                    <w:t>单位</w:t>
                  </w:r>
                </w:p>
              </w:tc>
              <w:tc>
                <w:tcPr>
                  <w:tcW w:w="1915" w:type="dxa"/>
                  <w:noWrap w:val="0"/>
                  <w:vAlign w:val="center"/>
                </w:tcPr>
                <w:p>
                  <w:pPr>
                    <w:jc w:val="center"/>
                    <w:rPr>
                      <w:rFonts w:hint="eastAsia" w:ascii="等线" w:hAnsi="等线" w:eastAsia="等线" w:cs="等线"/>
                      <w:sz w:val="22"/>
                      <w:szCs w:val="22"/>
                      <w:vertAlign w:val="baseline"/>
                      <w:lang w:eastAsia="zh-CN"/>
                    </w:rPr>
                  </w:pPr>
                  <w:r>
                    <w:rPr>
                      <w:rFonts w:hint="eastAsia" w:ascii="等线" w:hAnsi="等线" w:eastAsia="等线" w:cs="等线"/>
                      <w:sz w:val="22"/>
                      <w:szCs w:val="22"/>
                      <w:vertAlign w:val="baseline"/>
                      <w:lang w:eastAsia="zh-CN"/>
                    </w:rPr>
                    <w:t>设计值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745" w:type="dxa"/>
                  <w:noWrap w:val="0"/>
                  <w:vAlign w:val="center"/>
                </w:tcPr>
                <w:p>
                  <w:pPr>
                    <w:jc w:val="center"/>
                    <w:rPr>
                      <w:rFonts w:hint="eastAsia" w:ascii="等线" w:hAnsi="等线" w:eastAsia="等线" w:cs="等线"/>
                      <w:sz w:val="22"/>
                      <w:szCs w:val="22"/>
                      <w:vertAlign w:val="baseline"/>
                      <w:lang w:val="en-US" w:eastAsia="zh-CN"/>
                    </w:rPr>
                  </w:pPr>
                  <w:r>
                    <w:rPr>
                      <w:rFonts w:hint="eastAsia" w:cs="等线"/>
                      <w:sz w:val="22"/>
                      <w:szCs w:val="22"/>
                      <w:vertAlign w:val="baseline"/>
                      <w:lang w:val="en-US" w:eastAsia="zh-CN"/>
                    </w:rPr>
                    <w:t>1</w:t>
                  </w:r>
                </w:p>
              </w:tc>
              <w:tc>
                <w:tcPr>
                  <w:tcW w:w="1919" w:type="dxa"/>
                  <w:gridSpan w:val="3"/>
                  <w:noWrap w:val="0"/>
                  <w:vAlign w:val="center"/>
                </w:tcPr>
                <w:p>
                  <w:pPr>
                    <w:jc w:val="center"/>
                    <w:rPr>
                      <w:rFonts w:hint="eastAsia" w:ascii="等线" w:hAnsi="等线" w:eastAsia="等线" w:cs="等线"/>
                      <w:sz w:val="22"/>
                      <w:szCs w:val="22"/>
                      <w:vertAlign w:val="baseline"/>
                      <w:lang w:eastAsia="zh-CN"/>
                    </w:rPr>
                  </w:pPr>
                  <w:r>
                    <w:rPr>
                      <w:rFonts w:hint="eastAsia" w:ascii="等线" w:hAnsi="等线" w:eastAsia="等线" w:cs="等线"/>
                      <w:sz w:val="22"/>
                      <w:szCs w:val="22"/>
                      <w:vertAlign w:val="baseline"/>
                      <w:lang w:eastAsia="zh-CN"/>
                    </w:rPr>
                    <w:t>配套拖拉机标定功率</w:t>
                  </w:r>
                </w:p>
              </w:tc>
              <w:tc>
                <w:tcPr>
                  <w:tcW w:w="647"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kw</w:t>
                  </w:r>
                </w:p>
              </w:tc>
              <w:tc>
                <w:tcPr>
                  <w:tcW w:w="1915"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eastAsia="zh-CN"/>
                    </w:rPr>
                    <w:t>≥</w:t>
                  </w:r>
                  <w:r>
                    <w:rPr>
                      <w:rFonts w:hint="eastAsia" w:ascii="等线" w:hAnsi="等线" w:eastAsia="等线" w:cs="等线"/>
                      <w:sz w:val="22"/>
                      <w:szCs w:val="22"/>
                      <w:vertAlign w:val="baseline"/>
                      <w:lang w:val="en-US" w:eastAsia="zh-CN"/>
                    </w:rPr>
                    <w:t>89.52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45" w:type="dxa"/>
                  <w:vMerge w:val="restart"/>
                  <w:noWrap w:val="0"/>
                  <w:vAlign w:val="top"/>
                </w:tcPr>
                <w:p>
                  <w:pPr>
                    <w:rPr>
                      <w:rFonts w:hint="eastAsia" w:ascii="等线" w:hAnsi="等线" w:eastAsia="等线" w:cs="等线"/>
                      <w:sz w:val="22"/>
                      <w:szCs w:val="22"/>
                      <w:vertAlign w:val="baseline"/>
                    </w:rPr>
                  </w:pPr>
                </w:p>
              </w:tc>
              <w:tc>
                <w:tcPr>
                  <w:tcW w:w="496" w:type="dxa"/>
                  <w:vMerge w:val="restart"/>
                  <w:noWrap w:val="0"/>
                  <w:vAlign w:val="center"/>
                </w:tcPr>
                <w:p>
                  <w:pPr>
                    <w:jc w:val="center"/>
                    <w:rPr>
                      <w:rFonts w:hint="eastAsia" w:ascii="等线" w:hAnsi="等线" w:eastAsia="等线" w:cs="等线"/>
                      <w:sz w:val="22"/>
                      <w:szCs w:val="22"/>
                      <w:vertAlign w:val="baseline"/>
                    </w:rPr>
                  </w:pPr>
                </w:p>
              </w:tc>
              <w:tc>
                <w:tcPr>
                  <w:tcW w:w="1423" w:type="dxa"/>
                  <w:gridSpan w:val="2"/>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GPS输出精度</w:t>
                  </w:r>
                </w:p>
              </w:tc>
              <w:tc>
                <w:tcPr>
                  <w:tcW w:w="647"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cm</w:t>
                  </w:r>
                </w:p>
              </w:tc>
              <w:tc>
                <w:tcPr>
                  <w:tcW w:w="1915"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水平±1，高度±2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45" w:type="dxa"/>
                  <w:vMerge w:val="continue"/>
                  <w:noWrap w:val="0"/>
                  <w:vAlign w:val="top"/>
                </w:tcPr>
                <w:p>
                  <w:pPr>
                    <w:rPr>
                      <w:rFonts w:hint="eastAsia" w:ascii="等线" w:hAnsi="等线" w:eastAsia="等线" w:cs="等线"/>
                      <w:sz w:val="22"/>
                      <w:szCs w:val="22"/>
                      <w:vertAlign w:val="baseline"/>
                    </w:rPr>
                  </w:pPr>
                </w:p>
              </w:tc>
              <w:tc>
                <w:tcPr>
                  <w:tcW w:w="496" w:type="dxa"/>
                  <w:vMerge w:val="continue"/>
                  <w:noWrap w:val="0"/>
                  <w:vAlign w:val="center"/>
                </w:tcPr>
                <w:p>
                  <w:pPr>
                    <w:jc w:val="center"/>
                    <w:rPr>
                      <w:rFonts w:hint="eastAsia" w:ascii="等线" w:hAnsi="等线" w:eastAsia="等线" w:cs="等线"/>
                      <w:sz w:val="22"/>
                      <w:szCs w:val="22"/>
                      <w:vertAlign w:val="baseline"/>
                    </w:rPr>
                  </w:pPr>
                </w:p>
              </w:tc>
              <w:tc>
                <w:tcPr>
                  <w:tcW w:w="1423" w:type="dxa"/>
                  <w:gridSpan w:val="2"/>
                  <w:noWrap w:val="0"/>
                  <w:vAlign w:val="center"/>
                </w:tcPr>
                <w:p>
                  <w:pPr>
                    <w:jc w:val="center"/>
                    <w:rPr>
                      <w:rFonts w:hint="eastAsia" w:ascii="等线" w:hAnsi="等线" w:eastAsia="等线" w:cs="等线"/>
                      <w:sz w:val="22"/>
                      <w:szCs w:val="22"/>
                      <w:vertAlign w:val="baseline"/>
                      <w:lang w:eastAsia="zh-CN"/>
                    </w:rPr>
                  </w:pPr>
                  <w:r>
                    <w:rPr>
                      <w:rFonts w:hint="eastAsia" w:ascii="等线" w:hAnsi="等线" w:eastAsia="等线" w:cs="等线"/>
                      <w:sz w:val="22"/>
                      <w:szCs w:val="22"/>
                      <w:vertAlign w:val="baseline"/>
                      <w:lang w:eastAsia="zh-CN"/>
                    </w:rPr>
                    <w:t>液压输出精度</w:t>
                  </w:r>
                </w:p>
              </w:tc>
              <w:tc>
                <w:tcPr>
                  <w:tcW w:w="647"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cm</w:t>
                  </w:r>
                </w:p>
              </w:tc>
              <w:tc>
                <w:tcPr>
                  <w:tcW w:w="1915"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45" w:type="dxa"/>
                  <w:vMerge w:val="continue"/>
                  <w:noWrap w:val="0"/>
                  <w:vAlign w:val="top"/>
                </w:tcPr>
                <w:p>
                  <w:pPr>
                    <w:rPr>
                      <w:rFonts w:hint="eastAsia" w:ascii="等线" w:hAnsi="等线" w:eastAsia="等线" w:cs="等线"/>
                      <w:sz w:val="22"/>
                      <w:szCs w:val="22"/>
                      <w:vertAlign w:val="baseline"/>
                    </w:rPr>
                  </w:pPr>
                </w:p>
              </w:tc>
              <w:tc>
                <w:tcPr>
                  <w:tcW w:w="496" w:type="dxa"/>
                  <w:vMerge w:val="continue"/>
                  <w:noWrap w:val="0"/>
                  <w:vAlign w:val="center"/>
                </w:tcPr>
                <w:p>
                  <w:pPr>
                    <w:jc w:val="center"/>
                    <w:rPr>
                      <w:rFonts w:hint="eastAsia" w:ascii="等线" w:hAnsi="等线" w:eastAsia="等线" w:cs="等线"/>
                      <w:sz w:val="22"/>
                      <w:szCs w:val="22"/>
                      <w:vertAlign w:val="baseline"/>
                    </w:rPr>
                  </w:pPr>
                </w:p>
              </w:tc>
              <w:tc>
                <w:tcPr>
                  <w:tcW w:w="1423" w:type="dxa"/>
                  <w:gridSpan w:val="2"/>
                  <w:noWrap w:val="0"/>
                  <w:vAlign w:val="center"/>
                </w:tcPr>
                <w:p>
                  <w:pPr>
                    <w:jc w:val="center"/>
                    <w:rPr>
                      <w:rFonts w:hint="eastAsia" w:ascii="等线" w:hAnsi="等线" w:eastAsia="等线" w:cs="等线"/>
                      <w:sz w:val="22"/>
                      <w:szCs w:val="22"/>
                      <w:vertAlign w:val="baseline"/>
                      <w:lang w:eastAsia="zh-CN"/>
                    </w:rPr>
                  </w:pPr>
                  <w:r>
                    <w:rPr>
                      <w:rFonts w:hint="eastAsia" w:ascii="等线" w:hAnsi="等线" w:eastAsia="等线" w:cs="等线"/>
                      <w:sz w:val="22"/>
                      <w:szCs w:val="22"/>
                      <w:vertAlign w:val="baseline"/>
                      <w:lang w:eastAsia="zh-CN"/>
                    </w:rPr>
                    <w:t>卫星信号</w:t>
                  </w:r>
                </w:p>
              </w:tc>
              <w:tc>
                <w:tcPr>
                  <w:tcW w:w="647"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w:t>
                  </w:r>
                </w:p>
              </w:tc>
              <w:tc>
                <w:tcPr>
                  <w:tcW w:w="1915"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北斗/GPS/GLONASS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45" w:type="dxa"/>
                  <w:vMerge w:val="continue"/>
                  <w:noWrap w:val="0"/>
                  <w:vAlign w:val="top"/>
                </w:tcPr>
                <w:p>
                  <w:pPr>
                    <w:rPr>
                      <w:rFonts w:hint="eastAsia" w:ascii="等线" w:hAnsi="等线" w:eastAsia="等线" w:cs="等线"/>
                      <w:sz w:val="22"/>
                      <w:szCs w:val="22"/>
                      <w:vertAlign w:val="baseline"/>
                    </w:rPr>
                  </w:pPr>
                </w:p>
              </w:tc>
              <w:tc>
                <w:tcPr>
                  <w:tcW w:w="496" w:type="dxa"/>
                  <w:vMerge w:val="continue"/>
                  <w:noWrap w:val="0"/>
                  <w:vAlign w:val="center"/>
                </w:tcPr>
                <w:p>
                  <w:pPr>
                    <w:jc w:val="center"/>
                    <w:rPr>
                      <w:rFonts w:hint="eastAsia" w:ascii="等线" w:hAnsi="等线" w:eastAsia="等线" w:cs="等线"/>
                      <w:sz w:val="22"/>
                      <w:szCs w:val="22"/>
                      <w:vertAlign w:val="baseline"/>
                    </w:rPr>
                  </w:pPr>
                </w:p>
              </w:tc>
              <w:tc>
                <w:tcPr>
                  <w:tcW w:w="1423" w:type="dxa"/>
                  <w:gridSpan w:val="2"/>
                  <w:noWrap w:val="0"/>
                  <w:vAlign w:val="center"/>
                </w:tcPr>
                <w:p>
                  <w:pPr>
                    <w:jc w:val="center"/>
                    <w:rPr>
                      <w:rFonts w:hint="eastAsia" w:ascii="等线" w:hAnsi="等线" w:eastAsia="等线" w:cs="等线"/>
                      <w:sz w:val="22"/>
                      <w:szCs w:val="22"/>
                      <w:vertAlign w:val="baseline"/>
                      <w:lang w:eastAsia="zh-CN"/>
                    </w:rPr>
                  </w:pPr>
                  <w:r>
                    <w:rPr>
                      <w:rFonts w:hint="eastAsia" w:ascii="等线" w:hAnsi="等线" w:eastAsia="等线" w:cs="等线"/>
                      <w:sz w:val="22"/>
                      <w:szCs w:val="22"/>
                      <w:vertAlign w:val="baseline"/>
                      <w:lang w:eastAsia="zh-CN"/>
                    </w:rPr>
                    <w:t>发射范围</w:t>
                  </w:r>
                </w:p>
              </w:tc>
              <w:tc>
                <w:tcPr>
                  <w:tcW w:w="647"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km</w:t>
                  </w:r>
                </w:p>
              </w:tc>
              <w:tc>
                <w:tcPr>
                  <w:tcW w:w="1915"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45" w:type="dxa"/>
                  <w:vMerge w:val="continue"/>
                  <w:noWrap w:val="0"/>
                  <w:vAlign w:val="top"/>
                </w:tcPr>
                <w:p>
                  <w:pPr>
                    <w:rPr>
                      <w:rFonts w:hint="eastAsia" w:ascii="等线" w:hAnsi="等线" w:eastAsia="等线" w:cs="等线"/>
                      <w:sz w:val="22"/>
                      <w:szCs w:val="22"/>
                      <w:vertAlign w:val="baseline"/>
                    </w:rPr>
                  </w:pPr>
                </w:p>
              </w:tc>
              <w:tc>
                <w:tcPr>
                  <w:tcW w:w="496" w:type="dxa"/>
                  <w:vMerge w:val="continue"/>
                  <w:noWrap w:val="0"/>
                  <w:vAlign w:val="center"/>
                </w:tcPr>
                <w:p>
                  <w:pPr>
                    <w:jc w:val="center"/>
                    <w:rPr>
                      <w:rFonts w:hint="eastAsia" w:ascii="等线" w:hAnsi="等线" w:eastAsia="等线" w:cs="等线"/>
                      <w:sz w:val="22"/>
                      <w:szCs w:val="22"/>
                      <w:vertAlign w:val="baseline"/>
                    </w:rPr>
                  </w:pPr>
                </w:p>
              </w:tc>
              <w:tc>
                <w:tcPr>
                  <w:tcW w:w="1423" w:type="dxa"/>
                  <w:gridSpan w:val="2"/>
                  <w:noWrap w:val="0"/>
                  <w:vAlign w:val="center"/>
                </w:tcPr>
                <w:p>
                  <w:pPr>
                    <w:jc w:val="center"/>
                    <w:rPr>
                      <w:rFonts w:hint="eastAsia" w:ascii="等线" w:hAnsi="等线" w:eastAsia="等线" w:cs="等线"/>
                      <w:sz w:val="22"/>
                      <w:szCs w:val="22"/>
                      <w:vertAlign w:val="baseline"/>
                      <w:lang w:eastAsia="zh-CN"/>
                    </w:rPr>
                  </w:pPr>
                  <w:r>
                    <w:rPr>
                      <w:rFonts w:hint="eastAsia" w:ascii="等线" w:hAnsi="等线" w:eastAsia="等线" w:cs="等线"/>
                      <w:sz w:val="22"/>
                      <w:szCs w:val="22"/>
                      <w:vertAlign w:val="baseline"/>
                      <w:lang w:eastAsia="zh-CN"/>
                    </w:rPr>
                    <w:t>工作电压</w:t>
                  </w:r>
                </w:p>
              </w:tc>
              <w:tc>
                <w:tcPr>
                  <w:tcW w:w="647"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v</w:t>
                  </w:r>
                </w:p>
              </w:tc>
              <w:tc>
                <w:tcPr>
                  <w:tcW w:w="1915"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DC12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745" w:type="dxa"/>
                  <w:vMerge w:val="continue"/>
                  <w:noWrap w:val="0"/>
                  <w:vAlign w:val="top"/>
                </w:tcPr>
                <w:p>
                  <w:pPr>
                    <w:rPr>
                      <w:rFonts w:hint="eastAsia" w:ascii="等线" w:hAnsi="等线" w:eastAsia="等线" w:cs="等线"/>
                      <w:sz w:val="22"/>
                      <w:szCs w:val="22"/>
                      <w:vertAlign w:val="baseline"/>
                    </w:rPr>
                  </w:pPr>
                </w:p>
              </w:tc>
              <w:tc>
                <w:tcPr>
                  <w:tcW w:w="496" w:type="dxa"/>
                  <w:vMerge w:val="restart"/>
                  <w:noWrap w:val="0"/>
                  <w:vAlign w:val="center"/>
                </w:tcPr>
                <w:p>
                  <w:pPr>
                    <w:jc w:val="center"/>
                    <w:rPr>
                      <w:rFonts w:hint="eastAsia" w:ascii="等线" w:hAnsi="等线" w:eastAsia="等线" w:cs="等线"/>
                      <w:sz w:val="22"/>
                      <w:szCs w:val="22"/>
                      <w:vertAlign w:val="baseline"/>
                      <w:lang w:eastAsia="zh-CN"/>
                    </w:rPr>
                  </w:pPr>
                  <w:r>
                    <w:rPr>
                      <w:rFonts w:hint="eastAsia" w:ascii="等线" w:hAnsi="等线" w:eastAsia="等线" w:cs="等线"/>
                      <w:sz w:val="22"/>
                      <w:szCs w:val="22"/>
                      <w:vertAlign w:val="baseline"/>
                      <w:lang w:eastAsia="zh-CN"/>
                    </w:rPr>
                    <w:t>平地铲</w:t>
                  </w:r>
                </w:p>
              </w:tc>
              <w:tc>
                <w:tcPr>
                  <w:tcW w:w="1423" w:type="dxa"/>
                  <w:gridSpan w:val="2"/>
                  <w:noWrap w:val="0"/>
                  <w:vAlign w:val="center"/>
                </w:tcPr>
                <w:p>
                  <w:pPr>
                    <w:jc w:val="center"/>
                    <w:rPr>
                      <w:rFonts w:hint="eastAsia" w:ascii="等线" w:hAnsi="等线" w:eastAsia="等线" w:cs="等线"/>
                      <w:sz w:val="22"/>
                      <w:szCs w:val="22"/>
                      <w:vertAlign w:val="baseline"/>
                    </w:rPr>
                  </w:pPr>
                  <w:r>
                    <w:rPr>
                      <w:rFonts w:hint="eastAsia" w:ascii="等线" w:hAnsi="等线" w:eastAsia="等线" w:cs="等线"/>
                      <w:sz w:val="22"/>
                      <w:szCs w:val="22"/>
                      <w:vertAlign w:val="baseline"/>
                      <w:lang w:eastAsia="zh-CN"/>
                    </w:rPr>
                    <w:t>外形尺寸（长</w:t>
                  </w:r>
                  <w:r>
                    <w:rPr>
                      <w:rFonts w:hint="eastAsia" w:ascii="等线" w:hAnsi="等线" w:eastAsia="等线" w:cs="等线"/>
                      <w:sz w:val="22"/>
                      <w:szCs w:val="22"/>
                      <w:vertAlign w:val="baseline"/>
                      <w:lang w:val="en-US" w:eastAsia="zh-CN"/>
                    </w:rPr>
                    <w:t>×</w:t>
                  </w:r>
                  <w:r>
                    <w:rPr>
                      <w:rFonts w:hint="eastAsia" w:ascii="等线" w:hAnsi="等线" w:eastAsia="等线" w:cs="等线"/>
                      <w:sz w:val="22"/>
                      <w:szCs w:val="22"/>
                      <w:vertAlign w:val="baseline"/>
                      <w:lang w:eastAsia="zh-CN"/>
                    </w:rPr>
                    <w:t>宽</w:t>
                  </w:r>
                  <w:r>
                    <w:rPr>
                      <w:rFonts w:hint="eastAsia" w:ascii="等线" w:hAnsi="等线" w:eastAsia="等线" w:cs="等线"/>
                      <w:sz w:val="22"/>
                      <w:szCs w:val="22"/>
                      <w:vertAlign w:val="baseline"/>
                      <w:lang w:val="en-US" w:eastAsia="zh-CN"/>
                    </w:rPr>
                    <w:t>×</w:t>
                  </w:r>
                  <w:r>
                    <w:rPr>
                      <w:rFonts w:hint="eastAsia" w:ascii="等线" w:hAnsi="等线" w:eastAsia="等线" w:cs="等线"/>
                      <w:sz w:val="22"/>
                      <w:szCs w:val="22"/>
                      <w:vertAlign w:val="baseline"/>
                      <w:lang w:eastAsia="zh-CN"/>
                    </w:rPr>
                    <w:t>高）</w:t>
                  </w:r>
                </w:p>
              </w:tc>
              <w:tc>
                <w:tcPr>
                  <w:tcW w:w="647"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mm</w:t>
                  </w:r>
                </w:p>
              </w:tc>
              <w:tc>
                <w:tcPr>
                  <w:tcW w:w="1915"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3900×3295×2480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45" w:type="dxa"/>
                  <w:vMerge w:val="continue"/>
                  <w:noWrap w:val="0"/>
                  <w:vAlign w:val="top"/>
                </w:tcPr>
                <w:p>
                  <w:pPr>
                    <w:rPr>
                      <w:rFonts w:hint="eastAsia" w:ascii="等线" w:hAnsi="等线" w:eastAsia="等线" w:cs="等线"/>
                      <w:sz w:val="22"/>
                      <w:szCs w:val="22"/>
                      <w:vertAlign w:val="baseline"/>
                    </w:rPr>
                  </w:pPr>
                </w:p>
              </w:tc>
              <w:tc>
                <w:tcPr>
                  <w:tcW w:w="496" w:type="dxa"/>
                  <w:vMerge w:val="continue"/>
                  <w:noWrap w:val="0"/>
                  <w:vAlign w:val="top"/>
                </w:tcPr>
                <w:p>
                  <w:pPr>
                    <w:rPr>
                      <w:rFonts w:hint="eastAsia" w:ascii="等线" w:hAnsi="等线" w:eastAsia="等线" w:cs="等线"/>
                      <w:sz w:val="22"/>
                      <w:szCs w:val="22"/>
                      <w:vertAlign w:val="baseline"/>
                    </w:rPr>
                  </w:pPr>
                </w:p>
              </w:tc>
              <w:tc>
                <w:tcPr>
                  <w:tcW w:w="1423" w:type="dxa"/>
                  <w:gridSpan w:val="2"/>
                  <w:noWrap w:val="0"/>
                  <w:vAlign w:val="center"/>
                </w:tcPr>
                <w:p>
                  <w:pPr>
                    <w:jc w:val="center"/>
                    <w:rPr>
                      <w:rFonts w:hint="eastAsia" w:ascii="等线" w:hAnsi="等线" w:eastAsia="等线" w:cs="等线"/>
                      <w:sz w:val="22"/>
                      <w:szCs w:val="22"/>
                      <w:vertAlign w:val="baseline"/>
                      <w:lang w:eastAsia="zh-CN"/>
                    </w:rPr>
                  </w:pPr>
                  <w:r>
                    <w:rPr>
                      <w:rFonts w:hint="eastAsia" w:ascii="等线" w:hAnsi="等线" w:eastAsia="等线" w:cs="等线"/>
                      <w:sz w:val="22"/>
                      <w:szCs w:val="22"/>
                      <w:vertAlign w:val="baseline"/>
                      <w:lang w:eastAsia="zh-CN"/>
                    </w:rPr>
                    <w:t>整机质量</w:t>
                  </w:r>
                </w:p>
              </w:tc>
              <w:tc>
                <w:tcPr>
                  <w:tcW w:w="647"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kg</w:t>
                  </w:r>
                </w:p>
              </w:tc>
              <w:tc>
                <w:tcPr>
                  <w:tcW w:w="1915"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45" w:type="dxa"/>
                  <w:vMerge w:val="continue"/>
                  <w:noWrap w:val="0"/>
                  <w:vAlign w:val="top"/>
                </w:tcPr>
                <w:p>
                  <w:pPr>
                    <w:rPr>
                      <w:rFonts w:hint="eastAsia" w:ascii="等线" w:hAnsi="等线" w:eastAsia="等线" w:cs="等线"/>
                      <w:sz w:val="22"/>
                      <w:szCs w:val="22"/>
                      <w:vertAlign w:val="baseline"/>
                    </w:rPr>
                  </w:pPr>
                </w:p>
              </w:tc>
              <w:tc>
                <w:tcPr>
                  <w:tcW w:w="496" w:type="dxa"/>
                  <w:vMerge w:val="continue"/>
                  <w:noWrap w:val="0"/>
                  <w:vAlign w:val="top"/>
                </w:tcPr>
                <w:p>
                  <w:pPr>
                    <w:rPr>
                      <w:rFonts w:hint="eastAsia" w:ascii="等线" w:hAnsi="等线" w:eastAsia="等线" w:cs="等线"/>
                      <w:sz w:val="22"/>
                      <w:szCs w:val="22"/>
                      <w:vertAlign w:val="baseline"/>
                    </w:rPr>
                  </w:pPr>
                </w:p>
              </w:tc>
              <w:tc>
                <w:tcPr>
                  <w:tcW w:w="1423" w:type="dxa"/>
                  <w:gridSpan w:val="2"/>
                  <w:noWrap w:val="0"/>
                  <w:vAlign w:val="center"/>
                </w:tcPr>
                <w:p>
                  <w:pPr>
                    <w:jc w:val="center"/>
                    <w:rPr>
                      <w:rFonts w:hint="eastAsia" w:ascii="等线" w:hAnsi="等线" w:eastAsia="等线" w:cs="等线"/>
                      <w:sz w:val="22"/>
                      <w:szCs w:val="22"/>
                      <w:vertAlign w:val="baseline"/>
                      <w:lang w:eastAsia="zh-CN"/>
                    </w:rPr>
                  </w:pPr>
                  <w:r>
                    <w:rPr>
                      <w:rFonts w:hint="eastAsia" w:ascii="等线" w:hAnsi="等线" w:eastAsia="等线" w:cs="等线"/>
                      <w:sz w:val="22"/>
                      <w:szCs w:val="22"/>
                      <w:vertAlign w:val="baseline"/>
                      <w:lang w:eastAsia="zh-CN"/>
                    </w:rPr>
                    <w:t>作业幅宽</w:t>
                  </w:r>
                </w:p>
              </w:tc>
              <w:tc>
                <w:tcPr>
                  <w:tcW w:w="647"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mm</w:t>
                  </w:r>
                </w:p>
              </w:tc>
              <w:tc>
                <w:tcPr>
                  <w:tcW w:w="1915"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45" w:type="dxa"/>
                  <w:vMerge w:val="continue"/>
                  <w:noWrap w:val="0"/>
                  <w:vAlign w:val="top"/>
                </w:tcPr>
                <w:p>
                  <w:pPr>
                    <w:rPr>
                      <w:rFonts w:hint="eastAsia" w:ascii="等线" w:hAnsi="等线" w:eastAsia="等线" w:cs="等线"/>
                      <w:sz w:val="22"/>
                      <w:szCs w:val="22"/>
                      <w:vertAlign w:val="baseline"/>
                    </w:rPr>
                  </w:pPr>
                </w:p>
              </w:tc>
              <w:tc>
                <w:tcPr>
                  <w:tcW w:w="496" w:type="dxa"/>
                  <w:vMerge w:val="continue"/>
                  <w:noWrap w:val="0"/>
                  <w:vAlign w:val="top"/>
                </w:tcPr>
                <w:p>
                  <w:pPr>
                    <w:rPr>
                      <w:rFonts w:hint="eastAsia" w:ascii="等线" w:hAnsi="等线" w:eastAsia="等线" w:cs="等线"/>
                      <w:sz w:val="22"/>
                      <w:szCs w:val="22"/>
                      <w:vertAlign w:val="baseline"/>
                    </w:rPr>
                  </w:pPr>
                </w:p>
              </w:tc>
              <w:tc>
                <w:tcPr>
                  <w:tcW w:w="1423" w:type="dxa"/>
                  <w:gridSpan w:val="2"/>
                  <w:noWrap w:val="0"/>
                  <w:vAlign w:val="center"/>
                </w:tcPr>
                <w:p>
                  <w:pPr>
                    <w:jc w:val="center"/>
                    <w:rPr>
                      <w:rFonts w:hint="eastAsia" w:ascii="等线" w:hAnsi="等线" w:eastAsia="等线" w:cs="等线"/>
                      <w:sz w:val="22"/>
                      <w:szCs w:val="22"/>
                      <w:vertAlign w:val="baseline"/>
                      <w:lang w:eastAsia="zh-CN"/>
                    </w:rPr>
                  </w:pPr>
                  <w:r>
                    <w:rPr>
                      <w:rFonts w:hint="eastAsia" w:ascii="等线" w:hAnsi="等线" w:eastAsia="等线" w:cs="等线"/>
                      <w:sz w:val="22"/>
                      <w:szCs w:val="22"/>
                      <w:vertAlign w:val="baseline"/>
                      <w:lang w:eastAsia="zh-CN"/>
                    </w:rPr>
                    <w:t>铲土深度</w:t>
                  </w:r>
                </w:p>
              </w:tc>
              <w:tc>
                <w:tcPr>
                  <w:tcW w:w="647"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mm</w:t>
                  </w:r>
                </w:p>
              </w:tc>
              <w:tc>
                <w:tcPr>
                  <w:tcW w:w="1915"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45" w:type="dxa"/>
                  <w:vMerge w:val="continue"/>
                  <w:noWrap w:val="0"/>
                  <w:vAlign w:val="top"/>
                </w:tcPr>
                <w:p>
                  <w:pPr>
                    <w:rPr>
                      <w:rFonts w:hint="eastAsia" w:ascii="等线" w:hAnsi="等线" w:eastAsia="等线" w:cs="等线"/>
                      <w:sz w:val="22"/>
                      <w:szCs w:val="22"/>
                      <w:vertAlign w:val="baseline"/>
                    </w:rPr>
                  </w:pPr>
                </w:p>
              </w:tc>
              <w:tc>
                <w:tcPr>
                  <w:tcW w:w="496" w:type="dxa"/>
                  <w:vMerge w:val="continue"/>
                  <w:noWrap w:val="0"/>
                  <w:vAlign w:val="top"/>
                </w:tcPr>
                <w:p>
                  <w:pPr>
                    <w:rPr>
                      <w:rFonts w:hint="eastAsia" w:ascii="等线" w:hAnsi="等线" w:eastAsia="等线" w:cs="等线"/>
                      <w:sz w:val="22"/>
                      <w:szCs w:val="22"/>
                      <w:vertAlign w:val="baseline"/>
                    </w:rPr>
                  </w:pPr>
                </w:p>
              </w:tc>
              <w:tc>
                <w:tcPr>
                  <w:tcW w:w="1423" w:type="dxa"/>
                  <w:gridSpan w:val="2"/>
                  <w:noWrap w:val="0"/>
                  <w:vAlign w:val="center"/>
                </w:tcPr>
                <w:p>
                  <w:pPr>
                    <w:jc w:val="center"/>
                    <w:rPr>
                      <w:rFonts w:hint="eastAsia" w:ascii="等线" w:hAnsi="等线" w:eastAsia="等线" w:cs="等线"/>
                      <w:sz w:val="22"/>
                      <w:szCs w:val="22"/>
                      <w:vertAlign w:val="baseline"/>
                      <w:lang w:eastAsia="zh-CN"/>
                    </w:rPr>
                  </w:pPr>
                  <w:r>
                    <w:rPr>
                      <w:rFonts w:hint="eastAsia" w:ascii="等线" w:hAnsi="等线" w:eastAsia="等线" w:cs="等线"/>
                      <w:sz w:val="22"/>
                      <w:szCs w:val="22"/>
                      <w:vertAlign w:val="baseline"/>
                      <w:lang w:eastAsia="zh-CN"/>
                    </w:rPr>
                    <w:t>平地铲升降高度</w:t>
                  </w:r>
                </w:p>
              </w:tc>
              <w:tc>
                <w:tcPr>
                  <w:tcW w:w="647"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mm</w:t>
                  </w:r>
                </w:p>
              </w:tc>
              <w:tc>
                <w:tcPr>
                  <w:tcW w:w="1915"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45" w:type="dxa"/>
                  <w:vMerge w:val="continue"/>
                  <w:noWrap w:val="0"/>
                  <w:vAlign w:val="top"/>
                </w:tcPr>
                <w:p>
                  <w:pPr>
                    <w:rPr>
                      <w:rFonts w:hint="eastAsia" w:ascii="等线" w:hAnsi="等线" w:eastAsia="等线" w:cs="等线"/>
                      <w:sz w:val="22"/>
                      <w:szCs w:val="22"/>
                      <w:vertAlign w:val="baseline"/>
                    </w:rPr>
                  </w:pPr>
                </w:p>
              </w:tc>
              <w:tc>
                <w:tcPr>
                  <w:tcW w:w="496" w:type="dxa"/>
                  <w:vMerge w:val="continue"/>
                  <w:noWrap w:val="0"/>
                  <w:vAlign w:val="top"/>
                </w:tcPr>
                <w:p>
                  <w:pPr>
                    <w:rPr>
                      <w:rFonts w:hint="eastAsia" w:ascii="等线" w:hAnsi="等线" w:eastAsia="等线" w:cs="等线"/>
                      <w:sz w:val="22"/>
                      <w:szCs w:val="22"/>
                      <w:vertAlign w:val="baseline"/>
                    </w:rPr>
                  </w:pPr>
                </w:p>
              </w:tc>
              <w:tc>
                <w:tcPr>
                  <w:tcW w:w="1423" w:type="dxa"/>
                  <w:gridSpan w:val="2"/>
                  <w:noWrap w:val="0"/>
                  <w:vAlign w:val="center"/>
                </w:tcPr>
                <w:p>
                  <w:pPr>
                    <w:jc w:val="center"/>
                    <w:rPr>
                      <w:rFonts w:hint="eastAsia" w:ascii="等线" w:hAnsi="等线" w:eastAsia="等线" w:cs="等线"/>
                      <w:sz w:val="22"/>
                      <w:szCs w:val="22"/>
                      <w:vertAlign w:val="baseline"/>
                      <w:lang w:eastAsia="zh-CN"/>
                    </w:rPr>
                  </w:pPr>
                  <w:r>
                    <w:rPr>
                      <w:rFonts w:hint="eastAsia" w:ascii="等线" w:hAnsi="等线" w:eastAsia="等线" w:cs="等线"/>
                      <w:sz w:val="22"/>
                      <w:szCs w:val="22"/>
                      <w:vertAlign w:val="baseline"/>
                      <w:lang w:eastAsia="zh-CN"/>
                    </w:rPr>
                    <w:t>平地铲容积</w:t>
                  </w:r>
                </w:p>
              </w:tc>
              <w:tc>
                <w:tcPr>
                  <w:tcW w:w="647"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m³</w:t>
                  </w:r>
                </w:p>
              </w:tc>
              <w:tc>
                <w:tcPr>
                  <w:tcW w:w="1915"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1.0-1.2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745" w:type="dxa"/>
                  <w:vMerge w:val="continue"/>
                  <w:noWrap w:val="0"/>
                  <w:vAlign w:val="top"/>
                </w:tcPr>
                <w:p>
                  <w:pPr>
                    <w:rPr>
                      <w:rFonts w:hint="eastAsia" w:ascii="等线" w:hAnsi="等线" w:eastAsia="等线" w:cs="等线"/>
                      <w:sz w:val="22"/>
                      <w:szCs w:val="22"/>
                      <w:vertAlign w:val="baseline"/>
                    </w:rPr>
                  </w:pPr>
                </w:p>
              </w:tc>
              <w:tc>
                <w:tcPr>
                  <w:tcW w:w="496" w:type="dxa"/>
                  <w:vMerge w:val="continue"/>
                  <w:noWrap w:val="0"/>
                  <w:vAlign w:val="top"/>
                </w:tcPr>
                <w:p>
                  <w:pPr>
                    <w:rPr>
                      <w:rFonts w:hint="eastAsia" w:ascii="等线" w:hAnsi="等线" w:eastAsia="等线" w:cs="等线"/>
                      <w:sz w:val="22"/>
                      <w:szCs w:val="22"/>
                      <w:vertAlign w:val="baseline"/>
                    </w:rPr>
                  </w:pPr>
                </w:p>
              </w:tc>
              <w:tc>
                <w:tcPr>
                  <w:tcW w:w="798" w:type="dxa"/>
                  <w:vMerge w:val="restart"/>
                  <w:noWrap w:val="0"/>
                  <w:vAlign w:val="center"/>
                </w:tcPr>
                <w:p>
                  <w:pPr>
                    <w:jc w:val="center"/>
                    <w:rPr>
                      <w:rFonts w:hint="eastAsia" w:ascii="等线" w:hAnsi="等线" w:eastAsia="等线" w:cs="等线"/>
                      <w:sz w:val="22"/>
                      <w:szCs w:val="22"/>
                      <w:vertAlign w:val="baseline"/>
                      <w:lang w:eastAsia="zh-CN"/>
                    </w:rPr>
                  </w:pPr>
                  <w:r>
                    <w:rPr>
                      <w:rFonts w:hint="eastAsia" w:ascii="等线" w:hAnsi="等线" w:eastAsia="等线" w:cs="等线"/>
                      <w:sz w:val="22"/>
                      <w:szCs w:val="22"/>
                      <w:vertAlign w:val="baseline"/>
                      <w:lang w:eastAsia="zh-CN"/>
                    </w:rPr>
                    <w:t>油缸</w:t>
                  </w:r>
                </w:p>
              </w:tc>
              <w:tc>
                <w:tcPr>
                  <w:tcW w:w="625" w:type="dxa"/>
                  <w:noWrap w:val="0"/>
                  <w:vAlign w:val="center"/>
                </w:tcPr>
                <w:p>
                  <w:pPr>
                    <w:jc w:val="center"/>
                    <w:rPr>
                      <w:rFonts w:hint="eastAsia" w:ascii="等线" w:hAnsi="等线" w:eastAsia="等线" w:cs="等线"/>
                      <w:sz w:val="22"/>
                      <w:szCs w:val="22"/>
                      <w:vertAlign w:val="baseline"/>
                      <w:lang w:eastAsia="zh-CN"/>
                    </w:rPr>
                  </w:pPr>
                  <w:r>
                    <w:rPr>
                      <w:rFonts w:hint="eastAsia" w:ascii="等线" w:hAnsi="等线" w:eastAsia="等线" w:cs="等线"/>
                      <w:sz w:val="22"/>
                      <w:szCs w:val="22"/>
                      <w:vertAlign w:val="baseline"/>
                      <w:lang w:eastAsia="zh-CN"/>
                    </w:rPr>
                    <w:t>规格</w:t>
                  </w:r>
                </w:p>
              </w:tc>
              <w:tc>
                <w:tcPr>
                  <w:tcW w:w="647"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w:t>
                  </w:r>
                </w:p>
              </w:tc>
              <w:tc>
                <w:tcPr>
                  <w:tcW w:w="1915"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CP-80-350压力16MPA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745" w:type="dxa"/>
                  <w:vMerge w:val="continue"/>
                  <w:noWrap w:val="0"/>
                  <w:vAlign w:val="top"/>
                </w:tcPr>
                <w:p>
                  <w:pPr>
                    <w:rPr>
                      <w:rFonts w:hint="eastAsia" w:ascii="等线" w:hAnsi="等线" w:eastAsia="等线" w:cs="等线"/>
                      <w:sz w:val="22"/>
                      <w:szCs w:val="22"/>
                      <w:vertAlign w:val="baseline"/>
                    </w:rPr>
                  </w:pPr>
                </w:p>
              </w:tc>
              <w:tc>
                <w:tcPr>
                  <w:tcW w:w="496" w:type="dxa"/>
                  <w:vMerge w:val="continue"/>
                  <w:noWrap w:val="0"/>
                  <w:vAlign w:val="top"/>
                </w:tcPr>
                <w:p>
                  <w:pPr>
                    <w:rPr>
                      <w:rFonts w:hint="eastAsia" w:ascii="等线" w:hAnsi="等线" w:eastAsia="等线" w:cs="等线"/>
                      <w:sz w:val="22"/>
                      <w:szCs w:val="22"/>
                      <w:vertAlign w:val="baseline"/>
                    </w:rPr>
                  </w:pPr>
                </w:p>
              </w:tc>
              <w:tc>
                <w:tcPr>
                  <w:tcW w:w="798" w:type="dxa"/>
                  <w:vMerge w:val="continue"/>
                  <w:noWrap w:val="0"/>
                  <w:vAlign w:val="center"/>
                </w:tcPr>
                <w:p>
                  <w:pPr>
                    <w:jc w:val="center"/>
                    <w:rPr>
                      <w:rFonts w:hint="eastAsia" w:ascii="等线" w:hAnsi="等线" w:eastAsia="等线" w:cs="等线"/>
                      <w:sz w:val="22"/>
                      <w:szCs w:val="22"/>
                      <w:vertAlign w:val="baseline"/>
                    </w:rPr>
                  </w:pPr>
                </w:p>
              </w:tc>
              <w:tc>
                <w:tcPr>
                  <w:tcW w:w="625" w:type="dxa"/>
                  <w:noWrap w:val="0"/>
                  <w:vAlign w:val="center"/>
                </w:tcPr>
                <w:p>
                  <w:pPr>
                    <w:jc w:val="center"/>
                    <w:rPr>
                      <w:rFonts w:hint="eastAsia" w:ascii="等线" w:hAnsi="等线" w:eastAsia="等线" w:cs="等线"/>
                      <w:sz w:val="22"/>
                      <w:szCs w:val="22"/>
                      <w:vertAlign w:val="baseline"/>
                      <w:lang w:eastAsia="zh-CN"/>
                    </w:rPr>
                  </w:pPr>
                  <w:r>
                    <w:rPr>
                      <w:rFonts w:hint="eastAsia" w:ascii="等线" w:hAnsi="等线" w:eastAsia="等线" w:cs="等线"/>
                      <w:sz w:val="22"/>
                      <w:szCs w:val="22"/>
                      <w:vertAlign w:val="baseline"/>
                      <w:lang w:eastAsia="zh-CN"/>
                    </w:rPr>
                    <w:t>数量</w:t>
                  </w:r>
                </w:p>
              </w:tc>
              <w:tc>
                <w:tcPr>
                  <w:tcW w:w="647" w:type="dxa"/>
                  <w:noWrap w:val="0"/>
                  <w:vAlign w:val="center"/>
                </w:tcPr>
                <w:p>
                  <w:pPr>
                    <w:jc w:val="center"/>
                    <w:rPr>
                      <w:rFonts w:hint="eastAsia" w:ascii="等线" w:hAnsi="等线" w:eastAsia="等线" w:cs="等线"/>
                      <w:sz w:val="22"/>
                      <w:szCs w:val="22"/>
                      <w:vertAlign w:val="baseline"/>
                      <w:lang w:eastAsia="zh-CN"/>
                    </w:rPr>
                  </w:pPr>
                  <w:r>
                    <w:rPr>
                      <w:rFonts w:hint="eastAsia" w:ascii="等线" w:hAnsi="等线" w:eastAsia="等线" w:cs="等线"/>
                      <w:sz w:val="22"/>
                      <w:szCs w:val="22"/>
                      <w:vertAlign w:val="baseline"/>
                      <w:lang w:eastAsia="zh-CN"/>
                    </w:rPr>
                    <w:t>个</w:t>
                  </w:r>
                </w:p>
              </w:tc>
              <w:tc>
                <w:tcPr>
                  <w:tcW w:w="1915" w:type="dxa"/>
                  <w:noWrap w:val="0"/>
                  <w:vAlign w:val="center"/>
                </w:tcPr>
                <w:p>
                  <w:pPr>
                    <w:jc w:val="center"/>
                    <w:rPr>
                      <w:rFonts w:hint="eastAsia" w:ascii="等线" w:hAnsi="等线" w:eastAsia="等线" w:cs="等线"/>
                      <w:sz w:val="22"/>
                      <w:szCs w:val="22"/>
                      <w:vertAlign w:val="baseline"/>
                      <w:lang w:val="en-US" w:eastAsia="zh-CN"/>
                    </w:rPr>
                  </w:pPr>
                  <w:r>
                    <w:rPr>
                      <w:rFonts w:hint="eastAsia" w:ascii="等线" w:hAnsi="等线" w:eastAsia="等线" w:cs="等线"/>
                      <w:sz w:val="22"/>
                      <w:szCs w:val="22"/>
                      <w:vertAlign w:val="baseline"/>
                      <w:lang w:val="en-US" w:eastAsia="zh-CN"/>
                    </w:rPr>
                    <w:t>2</w:t>
                  </w:r>
                </w:p>
              </w:tc>
            </w:tr>
          </w:tbl>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rPr>
            </w:pPr>
          </w:p>
        </w:tc>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r>
              <w:rPr>
                <w:rFonts w:hint="eastAsia" w:ascii="等线" w:hAnsi="等线" w:eastAsia="等线" w:cs="等线"/>
                <w:bCs/>
                <w:color w:val="000000"/>
                <w:kern w:val="0"/>
                <w:sz w:val="24"/>
                <w:szCs w:val="24"/>
                <w:lang w:val="en-US" w:eastAsia="zh-CN"/>
              </w:rPr>
              <w:t>1台</w:t>
            </w:r>
          </w:p>
        </w:tc>
        <w:tc>
          <w:tcPr>
            <w:tcW w:w="11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0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6</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粮食干燥机</w:t>
            </w:r>
          </w:p>
        </w:tc>
        <w:tc>
          <w:tcPr>
            <w:tcW w:w="5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（1）结构形式：批式循环</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（2）外形尺寸（单位:mm）:4844*3967*12380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（3）处理量：稻谷≥30吨  玉米、小麦≥35吨</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（4）处理品种：玉米、小麦、水稻、大豆等</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（5）缓苏比：缓苏与烘干时间比≥5:1</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6）性能：①单位耗热量（kJ/kgH2O）：≤8120；②干燥能力（t·%/h）：≥16；③降水率（%/h）：0.5-1.2；④破碎率增值（%）：≤0.5%；⑤爆腰率增值（%）≤3；⑥干燥不均匀度（%）：≤1%；⑦处理量（kg/h）：≥1500；⑧噪声dB(A) ：≤85；⑨粉尘（mg/m3）≤10。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7）各项配置：①自动报警系统（故障和超温报警）、自动关机、温控装置、电器过载保护装置，漏电保护装置、满粮报警。②标准装置：输送系统、排粮系统、干燥系统、缓苏段、提升机、低噪音抽风机、自动控制系统。</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（8）热源</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燃油燃烧器</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lang w:val="en-US" w:eastAsia="zh-CN"/>
              </w:rPr>
              <w:t>燃料:柴油</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lang w:val="en-US" w:eastAsia="zh-CN"/>
              </w:rPr>
            </w:pPr>
            <w:r>
              <w:rPr>
                <w:rFonts w:hint="eastAsia" w:ascii="等线" w:hAnsi="等线" w:eastAsia="等线" w:cs="等线"/>
                <w:bCs/>
                <w:color w:val="000000"/>
                <w:kern w:val="0"/>
                <w:sz w:val="24"/>
                <w:szCs w:val="24"/>
                <w:lang w:val="en-US" w:eastAsia="zh-CN"/>
              </w:rPr>
              <w:t>1台</w:t>
            </w:r>
          </w:p>
        </w:tc>
        <w:tc>
          <w:tcPr>
            <w:tcW w:w="11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rPr>
            </w:pPr>
          </w:p>
        </w:tc>
      </w:tr>
    </w:tbl>
    <w:p>
      <w:pPr>
        <w:keepNext w:val="0"/>
        <w:keepLines w:val="0"/>
        <w:pageBreakBefore w:val="0"/>
        <w:widowControl/>
        <w:numPr>
          <w:ilvl w:val="3"/>
          <w:numId w:val="1"/>
        </w:numPr>
        <w:kinsoku/>
        <w:overflowPunct/>
        <w:topLinePunct w:val="0"/>
        <w:autoSpaceDE/>
        <w:autoSpaceDN/>
        <w:bidi w:val="0"/>
        <w:adjustRightInd w:val="0"/>
        <w:snapToGrid w:val="0"/>
        <w:spacing w:line="540" w:lineRule="exact"/>
        <w:textAlignment w:val="auto"/>
        <w:rPr>
          <w:rFonts w:hint="eastAsia" w:ascii="等线" w:hAnsi="等线" w:eastAsia="等线" w:cs="等线"/>
          <w:b/>
          <w:color w:val="000000"/>
          <w:kern w:val="0"/>
          <w:sz w:val="24"/>
          <w:szCs w:val="24"/>
        </w:rPr>
      </w:pPr>
      <w:r>
        <w:rPr>
          <w:rFonts w:hint="eastAsia" w:ascii="等线" w:hAnsi="等线" w:eastAsia="等线" w:cs="等线"/>
          <w:b/>
          <w:color w:val="000000"/>
          <w:kern w:val="0"/>
          <w:sz w:val="24"/>
          <w:szCs w:val="24"/>
        </w:rPr>
        <w:t>需要落实的政府采购政策</w:t>
      </w:r>
    </w:p>
    <w:p>
      <w:pPr>
        <w:keepNext w:val="0"/>
        <w:keepLines w:val="0"/>
        <w:pageBreakBefore w:val="0"/>
        <w:numPr>
          <w:ilvl w:val="1"/>
          <w:numId w:val="6"/>
        </w:numPr>
        <w:kinsoku/>
        <w:overflowPunct/>
        <w:topLinePunct w:val="0"/>
        <w:autoSpaceDE/>
        <w:autoSpaceDN/>
        <w:bidi w:val="0"/>
        <w:spacing w:line="540" w:lineRule="exact"/>
        <w:ind w:firstLine="480" w:firstLineChars="200"/>
        <w:textAlignment w:val="auto"/>
        <w:rPr>
          <w:rFonts w:hint="eastAsia" w:ascii="等线" w:hAnsi="等线" w:eastAsia="等线" w:cs="等线"/>
          <w:b/>
          <w:bCs/>
          <w:color w:val="000000"/>
          <w:sz w:val="24"/>
          <w:szCs w:val="24"/>
        </w:rPr>
      </w:pPr>
      <w:r>
        <w:rPr>
          <w:rFonts w:hint="eastAsia" w:ascii="等线" w:hAnsi="等线" w:eastAsia="等线" w:cs="等线"/>
          <w:b/>
          <w:bCs/>
          <w:color w:val="000000"/>
          <w:sz w:val="24"/>
          <w:szCs w:val="24"/>
        </w:rPr>
        <w:t>促进中小企业、监狱企业和残疾人福利性单位发展扶持政策</w:t>
      </w:r>
    </w:p>
    <w:p>
      <w:pPr>
        <w:keepNext w:val="0"/>
        <w:keepLines w:val="0"/>
        <w:pageBreakBefore w:val="0"/>
        <w:numPr>
          <w:ilvl w:val="2"/>
          <w:numId w:val="7"/>
        </w:numPr>
        <w:kinsoku/>
        <w:overflowPunct/>
        <w:topLinePunct w:val="0"/>
        <w:autoSpaceDE/>
        <w:autoSpaceDN/>
        <w:bidi w:val="0"/>
        <w:spacing w:line="540" w:lineRule="exact"/>
        <w:ind w:firstLine="480" w:firstLineChars="200"/>
        <w:textAlignment w:val="auto"/>
        <w:rPr>
          <w:rFonts w:hint="eastAsia" w:ascii="等线" w:hAnsi="等线" w:eastAsia="等线" w:cs="等线"/>
          <w:bCs/>
          <w:sz w:val="24"/>
          <w:szCs w:val="24"/>
        </w:rPr>
      </w:pPr>
      <w:r>
        <w:rPr>
          <w:rFonts w:hint="eastAsia" w:ascii="等线" w:hAnsi="等线" w:eastAsia="等线" w:cs="等线"/>
          <w:bCs/>
          <w:sz w:val="24"/>
          <w:szCs w:val="24"/>
        </w:rPr>
        <w:t>小型和微型企业认定：</w:t>
      </w:r>
    </w:p>
    <w:p>
      <w:pPr>
        <w:keepNext w:val="0"/>
        <w:keepLines w:val="0"/>
        <w:pageBreakBefore w:val="0"/>
        <w:widowControl w:val="0"/>
        <w:numPr>
          <w:ilvl w:val="0"/>
          <w:numId w:val="8"/>
        </w:numPr>
        <w:kinsoku/>
        <w:wordWrap/>
        <w:overflowPunct/>
        <w:topLinePunct w:val="0"/>
        <w:autoSpaceDE/>
        <w:autoSpaceDN/>
        <w:bidi w:val="0"/>
        <w:adjustRightInd/>
        <w:snapToGrid/>
        <w:spacing w:line="530" w:lineRule="exact"/>
        <w:ind w:firstLine="480" w:firstLineChars="200"/>
        <w:textAlignment w:val="auto"/>
        <w:rPr>
          <w:rFonts w:hint="eastAsia" w:ascii="等线" w:hAnsi="等线" w:eastAsia="等线" w:cs="等线"/>
          <w:bCs/>
          <w:sz w:val="24"/>
          <w:szCs w:val="24"/>
        </w:rPr>
      </w:pPr>
      <w:r>
        <w:rPr>
          <w:rFonts w:hint="eastAsia" w:ascii="等线" w:hAnsi="等线" w:eastAsia="等线" w:cs="等线"/>
          <w:bCs/>
          <w:sz w:val="24"/>
          <w:szCs w:val="24"/>
        </w:rPr>
        <w:t>提供本企业制造的货物、承担的工程或服务的，或者提供其他小型或者微型企业制造的货物的；</w:t>
      </w:r>
    </w:p>
    <w:p>
      <w:pPr>
        <w:keepNext w:val="0"/>
        <w:keepLines w:val="0"/>
        <w:pageBreakBefore w:val="0"/>
        <w:widowControl w:val="0"/>
        <w:numPr>
          <w:ilvl w:val="0"/>
          <w:numId w:val="8"/>
        </w:numPr>
        <w:kinsoku/>
        <w:wordWrap/>
        <w:overflowPunct/>
        <w:topLinePunct w:val="0"/>
        <w:autoSpaceDE/>
        <w:autoSpaceDN/>
        <w:bidi w:val="0"/>
        <w:adjustRightInd/>
        <w:snapToGrid/>
        <w:spacing w:line="530" w:lineRule="exact"/>
        <w:ind w:firstLine="480" w:firstLineChars="200"/>
        <w:textAlignment w:val="auto"/>
        <w:rPr>
          <w:rFonts w:hint="eastAsia" w:ascii="等线" w:hAnsi="等线" w:eastAsia="等线" w:cs="等线"/>
          <w:bCs/>
          <w:sz w:val="24"/>
          <w:szCs w:val="24"/>
        </w:rPr>
      </w:pPr>
      <w:r>
        <w:rPr>
          <w:rFonts w:hint="eastAsia" w:ascii="等线" w:hAnsi="等线" w:eastAsia="等线" w:cs="等线"/>
          <w:bCs/>
          <w:sz w:val="24"/>
          <w:szCs w:val="24"/>
        </w:rPr>
        <w:t>提供由供应商企业所在地的县级及以上中小企业主管部门出具的</w:t>
      </w:r>
      <w:r>
        <w:rPr>
          <w:rFonts w:hint="eastAsia" w:ascii="等线" w:hAnsi="等线" w:eastAsia="等线" w:cs="等线"/>
          <w:bCs/>
          <w:sz w:val="24"/>
          <w:szCs w:val="24"/>
          <w:lang w:eastAsia="zh-CN"/>
        </w:rPr>
        <w:t>中小企业认定的证明材料</w:t>
      </w:r>
      <w:r>
        <w:rPr>
          <w:rFonts w:hint="eastAsia" w:ascii="等线" w:hAnsi="等线" w:eastAsia="等线" w:cs="等线"/>
          <w:bCs/>
          <w:sz w:val="24"/>
          <w:szCs w:val="24"/>
        </w:rPr>
        <w:t>（</w:t>
      </w:r>
      <w:r>
        <w:rPr>
          <w:rFonts w:hint="eastAsia" w:ascii="等线" w:hAnsi="等线" w:eastAsia="等线" w:cs="等线"/>
          <w:b/>
          <w:bCs/>
          <w:color w:val="0000FF"/>
          <w:kern w:val="0"/>
          <w:sz w:val="24"/>
          <w:szCs w:val="24"/>
        </w:rPr>
        <w:t>投标文件商务、技术证明文件正本中提供复印件加盖投标人公章，副本中可为正本的复印件，</w:t>
      </w:r>
      <w:r>
        <w:rPr>
          <w:rFonts w:hint="eastAsia" w:ascii="等线" w:hAnsi="等线" w:eastAsia="等线" w:cs="等线"/>
          <w:b/>
          <w:bCs/>
          <w:color w:val="0000FF"/>
          <w:sz w:val="24"/>
          <w:szCs w:val="24"/>
        </w:rPr>
        <w:t>原件核查）</w:t>
      </w:r>
      <w:r>
        <w:rPr>
          <w:rFonts w:hint="eastAsia" w:ascii="等线" w:hAnsi="等线" w:eastAsia="等线" w:cs="等线"/>
          <w:bCs/>
          <w:sz w:val="24"/>
          <w:szCs w:val="24"/>
        </w:rPr>
        <w:t>和中小企业声明函</w:t>
      </w:r>
      <w:r>
        <w:rPr>
          <w:rFonts w:hint="eastAsia" w:ascii="等线" w:hAnsi="等线" w:eastAsia="等线" w:cs="等线"/>
          <w:b/>
          <w:bCs/>
          <w:color w:val="0000FF"/>
          <w:sz w:val="24"/>
          <w:szCs w:val="24"/>
        </w:rPr>
        <w:t>（原件附</w:t>
      </w:r>
      <w:r>
        <w:rPr>
          <w:rFonts w:hint="eastAsia" w:ascii="等线" w:hAnsi="等线" w:eastAsia="等线" w:cs="等线"/>
          <w:b/>
          <w:bCs/>
          <w:color w:val="0000FF"/>
          <w:kern w:val="0"/>
          <w:sz w:val="24"/>
          <w:szCs w:val="24"/>
        </w:rPr>
        <w:t>投标文件商务、技术证明文件正本中</w:t>
      </w:r>
      <w:r>
        <w:rPr>
          <w:rFonts w:hint="eastAsia" w:ascii="等线" w:hAnsi="等线" w:eastAsia="等线" w:cs="等线"/>
          <w:b/>
          <w:bCs/>
          <w:color w:val="0000FF"/>
          <w:sz w:val="24"/>
          <w:szCs w:val="24"/>
        </w:rPr>
        <w:t>，副本可以为正本的复印件）</w:t>
      </w:r>
      <w:r>
        <w:rPr>
          <w:rFonts w:hint="eastAsia" w:ascii="等线" w:hAnsi="等线" w:eastAsia="等线" w:cs="等线"/>
          <w:bCs/>
          <w:sz w:val="24"/>
          <w:szCs w:val="24"/>
        </w:rPr>
        <w:t>；供应商提供其他企业制造的货物的除需提供本企业的</w:t>
      </w:r>
      <w:r>
        <w:rPr>
          <w:rFonts w:hint="eastAsia" w:ascii="等线" w:hAnsi="等线" w:eastAsia="等线" w:cs="等线"/>
          <w:bCs/>
          <w:sz w:val="24"/>
          <w:szCs w:val="24"/>
          <w:lang w:eastAsia="zh-CN"/>
        </w:rPr>
        <w:t>中小企业认定的证明材料</w:t>
      </w:r>
      <w:r>
        <w:rPr>
          <w:rFonts w:hint="eastAsia" w:ascii="等线" w:hAnsi="等线" w:eastAsia="等线" w:cs="等线"/>
          <w:bCs/>
          <w:sz w:val="24"/>
          <w:szCs w:val="24"/>
        </w:rPr>
        <w:t>和中小企业声明函外，还需提供其他企业所在地的县级及以上中小企业主管部门出具的</w:t>
      </w:r>
      <w:r>
        <w:rPr>
          <w:rFonts w:hint="eastAsia" w:ascii="等线" w:hAnsi="等线" w:eastAsia="等线" w:cs="等线"/>
          <w:bCs/>
          <w:sz w:val="24"/>
          <w:szCs w:val="24"/>
          <w:lang w:eastAsia="zh-CN"/>
        </w:rPr>
        <w:t>中小企业认定的证明材料</w:t>
      </w:r>
      <w:r>
        <w:rPr>
          <w:rFonts w:hint="eastAsia" w:ascii="等线" w:hAnsi="等线" w:eastAsia="等线" w:cs="等线"/>
          <w:bCs/>
          <w:sz w:val="24"/>
          <w:szCs w:val="24"/>
        </w:rPr>
        <w:t>（</w:t>
      </w:r>
      <w:r>
        <w:rPr>
          <w:rFonts w:hint="eastAsia" w:ascii="等线" w:hAnsi="等线" w:eastAsia="等线" w:cs="等线"/>
          <w:b/>
          <w:bCs/>
          <w:color w:val="0000FF"/>
          <w:kern w:val="0"/>
          <w:sz w:val="24"/>
          <w:szCs w:val="24"/>
        </w:rPr>
        <w:t>投标文件商务、技术证明文件正本中提供复印件加盖</w:t>
      </w:r>
      <w:r>
        <w:rPr>
          <w:rFonts w:hint="eastAsia" w:ascii="等线" w:hAnsi="等线" w:eastAsia="等线" w:cs="等线"/>
          <w:b/>
          <w:bCs/>
          <w:color w:val="0000FF"/>
          <w:kern w:val="0"/>
          <w:sz w:val="24"/>
          <w:szCs w:val="24"/>
          <w:lang w:eastAsia="zh-CN"/>
        </w:rPr>
        <w:t>生产厂家</w:t>
      </w:r>
      <w:r>
        <w:rPr>
          <w:rFonts w:hint="eastAsia" w:ascii="等线" w:hAnsi="等线" w:eastAsia="等线" w:cs="等线"/>
          <w:b/>
          <w:bCs/>
          <w:color w:val="0000FF"/>
          <w:kern w:val="0"/>
          <w:sz w:val="24"/>
          <w:szCs w:val="24"/>
        </w:rPr>
        <w:t>公章，副本中可为正本的复印件</w:t>
      </w:r>
      <w:r>
        <w:rPr>
          <w:rFonts w:hint="eastAsia" w:ascii="等线" w:hAnsi="等线" w:eastAsia="等线" w:cs="等线"/>
          <w:b/>
          <w:bCs/>
          <w:color w:val="0000FF"/>
          <w:sz w:val="24"/>
          <w:szCs w:val="24"/>
        </w:rPr>
        <w:t>）</w:t>
      </w:r>
      <w:r>
        <w:rPr>
          <w:rFonts w:hint="eastAsia" w:ascii="等线" w:hAnsi="等线" w:eastAsia="等线" w:cs="等线"/>
          <w:bCs/>
          <w:sz w:val="24"/>
          <w:szCs w:val="24"/>
        </w:rPr>
        <w:t>和中小企业声明函</w:t>
      </w:r>
      <w:r>
        <w:rPr>
          <w:rFonts w:hint="eastAsia" w:ascii="等线" w:hAnsi="等线" w:eastAsia="等线" w:cs="等线"/>
          <w:b/>
          <w:bCs/>
          <w:color w:val="0000FF"/>
          <w:sz w:val="24"/>
          <w:szCs w:val="24"/>
        </w:rPr>
        <w:t>（原件附</w:t>
      </w:r>
      <w:r>
        <w:rPr>
          <w:rFonts w:hint="eastAsia" w:ascii="等线" w:hAnsi="等线" w:eastAsia="等线" w:cs="等线"/>
          <w:b/>
          <w:bCs/>
          <w:color w:val="0000FF"/>
          <w:kern w:val="0"/>
          <w:sz w:val="24"/>
          <w:szCs w:val="24"/>
        </w:rPr>
        <w:t>投标文件商务、技术证明文件正本中</w:t>
      </w:r>
      <w:r>
        <w:rPr>
          <w:rFonts w:hint="eastAsia" w:ascii="等线" w:hAnsi="等线" w:eastAsia="等线" w:cs="等线"/>
          <w:b/>
          <w:bCs/>
          <w:color w:val="0000FF"/>
          <w:sz w:val="24"/>
          <w:szCs w:val="24"/>
        </w:rPr>
        <w:t>，副本可以为正本的复印件）</w:t>
      </w:r>
      <w:r>
        <w:rPr>
          <w:rFonts w:hint="eastAsia" w:ascii="等线" w:hAnsi="等线" w:eastAsia="等线" w:cs="等线"/>
          <w:bCs/>
          <w:sz w:val="24"/>
          <w:szCs w:val="24"/>
        </w:rPr>
        <w:t>，否则不予承认。</w:t>
      </w:r>
    </w:p>
    <w:p>
      <w:pPr>
        <w:keepNext w:val="0"/>
        <w:keepLines w:val="0"/>
        <w:pageBreakBefore w:val="0"/>
        <w:widowControl w:val="0"/>
        <w:kinsoku/>
        <w:wordWrap/>
        <w:overflowPunct/>
        <w:topLinePunct w:val="0"/>
        <w:autoSpaceDE/>
        <w:autoSpaceDN/>
        <w:bidi w:val="0"/>
        <w:adjustRightInd/>
        <w:snapToGrid/>
        <w:spacing w:line="530" w:lineRule="exact"/>
        <w:textAlignment w:val="auto"/>
        <w:rPr>
          <w:rFonts w:hint="eastAsia" w:ascii="等线" w:hAnsi="等线" w:eastAsia="等线" w:cs="等线"/>
          <w:b/>
          <w:bCs/>
          <w:sz w:val="24"/>
          <w:szCs w:val="24"/>
        </w:rPr>
      </w:pPr>
      <w:r>
        <w:rPr>
          <w:rFonts w:hint="eastAsia" w:ascii="等线" w:hAnsi="等线" w:eastAsia="等线" w:cs="等线"/>
          <w:bCs/>
          <w:sz w:val="24"/>
          <w:szCs w:val="24"/>
        </w:rPr>
        <w:t>　　</w:t>
      </w:r>
      <w:r>
        <w:rPr>
          <w:rFonts w:hint="eastAsia" w:ascii="等线" w:hAnsi="等线" w:eastAsia="等线" w:cs="等线"/>
          <w:b/>
          <w:bCs/>
          <w:sz w:val="24"/>
          <w:szCs w:val="24"/>
        </w:rPr>
        <w:t>在评审的过程中，以上（1）和（2）同时成立，方可以认定为小型或微型企业并享受价格优惠。</w:t>
      </w:r>
    </w:p>
    <w:p>
      <w:pPr>
        <w:keepNext w:val="0"/>
        <w:keepLines w:val="0"/>
        <w:pageBreakBefore w:val="0"/>
        <w:widowControl w:val="0"/>
        <w:numPr>
          <w:ilvl w:val="2"/>
          <w:numId w:val="7"/>
        </w:numPr>
        <w:kinsoku/>
        <w:wordWrap/>
        <w:overflowPunct/>
        <w:topLinePunct w:val="0"/>
        <w:autoSpaceDE/>
        <w:autoSpaceDN/>
        <w:bidi w:val="0"/>
        <w:adjustRightInd/>
        <w:snapToGrid/>
        <w:spacing w:line="530" w:lineRule="exact"/>
        <w:ind w:firstLine="480" w:firstLineChars="200"/>
        <w:textAlignment w:val="auto"/>
        <w:rPr>
          <w:rFonts w:hint="eastAsia" w:ascii="等线" w:hAnsi="等线" w:eastAsia="等线" w:cs="等线"/>
          <w:bCs/>
          <w:sz w:val="24"/>
          <w:szCs w:val="24"/>
        </w:rPr>
      </w:pPr>
      <w:r>
        <w:rPr>
          <w:rFonts w:hint="eastAsia" w:ascii="等线" w:hAnsi="等线" w:eastAsia="等线" w:cs="等线"/>
          <w:bCs/>
          <w:sz w:val="24"/>
          <w:szCs w:val="24"/>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等线" w:hAnsi="等线" w:eastAsia="等线" w:cs="等线"/>
          <w:b/>
          <w:bCs/>
          <w:color w:val="0000CC"/>
          <w:sz w:val="24"/>
          <w:szCs w:val="24"/>
        </w:rPr>
        <w:t>（投标文件商务、技术证明文件正本中提供复印件加盖投标人公章，副本中可为正本的复印件，原件核查）</w:t>
      </w:r>
      <w:r>
        <w:rPr>
          <w:rFonts w:hint="eastAsia" w:ascii="等线" w:hAnsi="等线" w:eastAsia="等线" w:cs="等线"/>
          <w:bCs/>
          <w:sz w:val="24"/>
          <w:szCs w:val="24"/>
        </w:rPr>
        <w:t>，不再提供《中小企业声明函》,供应商出具的监狱企业证明文件如有虚假，其成交资格将被取消，并根据相关规定进行处罚。</w:t>
      </w:r>
    </w:p>
    <w:p>
      <w:pPr>
        <w:keepNext w:val="0"/>
        <w:keepLines w:val="0"/>
        <w:pageBreakBefore w:val="0"/>
        <w:widowControl w:val="0"/>
        <w:numPr>
          <w:ilvl w:val="2"/>
          <w:numId w:val="7"/>
        </w:numPr>
        <w:kinsoku/>
        <w:wordWrap/>
        <w:overflowPunct/>
        <w:topLinePunct w:val="0"/>
        <w:autoSpaceDE/>
        <w:autoSpaceDN/>
        <w:bidi w:val="0"/>
        <w:adjustRightInd/>
        <w:snapToGrid/>
        <w:spacing w:line="530" w:lineRule="exact"/>
        <w:ind w:firstLine="480" w:firstLineChars="200"/>
        <w:textAlignment w:val="auto"/>
        <w:rPr>
          <w:rFonts w:hint="eastAsia" w:ascii="等线" w:hAnsi="等线" w:eastAsia="等线" w:cs="等线"/>
          <w:bCs/>
          <w:sz w:val="24"/>
          <w:szCs w:val="24"/>
        </w:rPr>
      </w:pPr>
      <w:r>
        <w:rPr>
          <w:rFonts w:hint="eastAsia" w:ascii="等线" w:hAnsi="等线" w:eastAsia="等线" w:cs="等线"/>
          <w:bCs/>
          <w:sz w:val="24"/>
          <w:szCs w:val="24"/>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等线" w:hAnsi="等线" w:eastAsia="等线" w:cs="等线"/>
          <w:b/>
          <w:bCs/>
          <w:color w:val="0000CC"/>
          <w:sz w:val="24"/>
          <w:szCs w:val="24"/>
        </w:rPr>
        <w:t>（原件附投标文件商务、技术证明文件正本中，副本可以为正本的复印件）</w:t>
      </w:r>
      <w:r>
        <w:rPr>
          <w:rFonts w:hint="eastAsia" w:ascii="等线" w:hAnsi="等线" w:eastAsia="等线" w:cs="等线"/>
          <w:bCs/>
          <w:sz w:val="24"/>
          <w:szCs w:val="24"/>
        </w:rPr>
        <w:t>，不再提供《中小企业声明函》，供应商在《残疾人福利性单位声明函》中的承诺如有虚假，其成交资格将被取消，并根据相关规定进行处罚。</w:t>
      </w:r>
    </w:p>
    <w:p>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leftChars="200"/>
        <w:textAlignment w:val="auto"/>
        <w:rPr>
          <w:rFonts w:hint="eastAsia" w:ascii="等线" w:hAnsi="等线" w:eastAsia="等线" w:cs="等线"/>
          <w:bCs/>
          <w:sz w:val="24"/>
          <w:szCs w:val="24"/>
        </w:rPr>
      </w:pPr>
      <w:r>
        <w:rPr>
          <w:rFonts w:hint="eastAsia" w:ascii="等线" w:hAnsi="等线" w:eastAsia="等线" w:cs="等线"/>
          <w:b/>
          <w:bCs/>
          <w:color w:val="FF0000"/>
          <w:sz w:val="24"/>
          <w:szCs w:val="24"/>
        </w:rPr>
        <w:t>投标人同时为小型、微型企业、监狱企业、残疾人福利性单位任两种或以上情况的，评审中只享受一次价格扣除，不重复进行价格扣除。</w:t>
      </w:r>
    </w:p>
    <w:p>
      <w:pPr>
        <w:keepNext w:val="0"/>
        <w:keepLines w:val="0"/>
        <w:pageBreakBefore w:val="0"/>
        <w:widowControl w:val="0"/>
        <w:numPr>
          <w:ilvl w:val="1"/>
          <w:numId w:val="6"/>
        </w:numPr>
        <w:kinsoku/>
        <w:wordWrap/>
        <w:overflowPunct/>
        <w:topLinePunct w:val="0"/>
        <w:autoSpaceDE/>
        <w:autoSpaceDN/>
        <w:bidi w:val="0"/>
        <w:adjustRightInd/>
        <w:snapToGrid/>
        <w:spacing w:line="530" w:lineRule="exact"/>
        <w:ind w:firstLine="480" w:firstLineChars="200"/>
        <w:textAlignment w:val="auto"/>
        <w:rPr>
          <w:rFonts w:hint="eastAsia" w:ascii="等线" w:hAnsi="等线" w:eastAsia="等线" w:cs="等线"/>
          <w:b/>
          <w:bCs/>
          <w:color w:val="000000"/>
          <w:sz w:val="24"/>
          <w:szCs w:val="24"/>
        </w:rPr>
      </w:pPr>
      <w:r>
        <w:rPr>
          <w:rFonts w:hint="eastAsia" w:ascii="等线" w:hAnsi="等线" w:eastAsia="等线" w:cs="等线"/>
          <w:b/>
          <w:bCs/>
          <w:color w:val="000000"/>
          <w:sz w:val="24"/>
          <w:szCs w:val="24"/>
        </w:rPr>
        <w:t>节能产品、环境标志产品</w:t>
      </w:r>
    </w:p>
    <w:p>
      <w:pPr>
        <w:keepNext w:val="0"/>
        <w:keepLines w:val="0"/>
        <w:pageBreakBefore w:val="0"/>
        <w:widowControl w:val="0"/>
        <w:kinsoku/>
        <w:wordWrap/>
        <w:overflowPunct/>
        <w:topLinePunct w:val="0"/>
        <w:autoSpaceDE/>
        <w:autoSpaceDN/>
        <w:bidi w:val="0"/>
        <w:adjustRightInd/>
        <w:snapToGrid/>
        <w:spacing w:line="530" w:lineRule="exact"/>
        <w:ind w:firstLine="484" w:firstLineChars="202"/>
        <w:textAlignment w:val="auto"/>
        <w:rPr>
          <w:rFonts w:hint="eastAsia" w:ascii="等线" w:hAnsi="等线" w:eastAsia="等线" w:cs="等线"/>
          <w:bCs/>
          <w:sz w:val="24"/>
          <w:szCs w:val="24"/>
        </w:rPr>
      </w:pPr>
      <w:r>
        <w:rPr>
          <w:rFonts w:hint="eastAsia" w:ascii="等线" w:hAnsi="等线" w:eastAsia="等线" w:cs="等线"/>
          <w:bCs/>
          <w:sz w:val="24"/>
          <w:szCs w:val="24"/>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等线" w:hAnsi="等线" w:eastAsia="等线" w:cs="等线"/>
          <w:b/>
          <w:bCs/>
          <w:color w:val="0000FF"/>
          <w:sz w:val="24"/>
          <w:szCs w:val="24"/>
        </w:rPr>
        <w:t>（</w:t>
      </w:r>
      <w:r>
        <w:rPr>
          <w:rFonts w:hint="eastAsia" w:ascii="等线" w:hAnsi="等线" w:eastAsia="等线" w:cs="等线"/>
          <w:b/>
          <w:bCs/>
          <w:color w:val="0000FF"/>
          <w:kern w:val="0"/>
          <w:sz w:val="24"/>
          <w:szCs w:val="24"/>
        </w:rPr>
        <w:t>投标文件商务、技术证明文件正本中提供复印件加盖投标人公章，副本中可为正本的复印件</w:t>
      </w:r>
      <w:r>
        <w:rPr>
          <w:rFonts w:hint="eastAsia" w:ascii="等线" w:hAnsi="等线" w:eastAsia="等线" w:cs="等线"/>
          <w:sz w:val="24"/>
          <w:szCs w:val="24"/>
        </w:rPr>
        <w:t>）</w:t>
      </w:r>
      <w:r>
        <w:rPr>
          <w:rFonts w:hint="eastAsia" w:ascii="等线" w:hAnsi="等线" w:eastAsia="等线" w:cs="等线"/>
          <w:b/>
          <w:bCs/>
          <w:color w:val="0000FF"/>
          <w:sz w:val="24"/>
          <w:szCs w:val="24"/>
        </w:rPr>
        <w:t>）</w:t>
      </w:r>
      <w:r>
        <w:rPr>
          <w:rFonts w:hint="eastAsia" w:ascii="等线" w:hAnsi="等线" w:eastAsia="等线" w:cs="等线"/>
          <w:bCs/>
          <w:sz w:val="24"/>
          <w:szCs w:val="24"/>
        </w:rPr>
        <w:t>，否则不予认定。</w:t>
      </w:r>
    </w:p>
    <w:p>
      <w:pPr>
        <w:keepNext w:val="0"/>
        <w:keepLines w:val="0"/>
        <w:pageBreakBefore w:val="0"/>
        <w:widowControl w:val="0"/>
        <w:numPr>
          <w:ilvl w:val="1"/>
          <w:numId w:val="6"/>
        </w:numPr>
        <w:kinsoku/>
        <w:wordWrap/>
        <w:overflowPunct/>
        <w:topLinePunct w:val="0"/>
        <w:autoSpaceDE/>
        <w:autoSpaceDN/>
        <w:bidi w:val="0"/>
        <w:adjustRightInd/>
        <w:snapToGrid/>
        <w:spacing w:line="530" w:lineRule="exact"/>
        <w:ind w:firstLine="480" w:firstLineChars="200"/>
        <w:textAlignment w:val="auto"/>
        <w:rPr>
          <w:rFonts w:hint="eastAsia" w:ascii="等线" w:hAnsi="等线" w:eastAsia="等线" w:cs="等线"/>
          <w:b/>
          <w:bCs/>
          <w:color w:val="000000"/>
          <w:sz w:val="24"/>
          <w:szCs w:val="24"/>
        </w:rPr>
      </w:pPr>
      <w:r>
        <w:rPr>
          <w:rFonts w:hint="eastAsia" w:ascii="等线" w:hAnsi="等线" w:eastAsia="等线" w:cs="等线"/>
          <w:b/>
          <w:bCs/>
          <w:color w:val="000000"/>
          <w:sz w:val="24"/>
          <w:szCs w:val="24"/>
        </w:rPr>
        <w:t>信息安全产品</w:t>
      </w:r>
    </w:p>
    <w:p>
      <w:pPr>
        <w:keepNext w:val="0"/>
        <w:keepLines w:val="0"/>
        <w:pageBreakBefore w:val="0"/>
        <w:widowControl w:val="0"/>
        <w:kinsoku/>
        <w:wordWrap/>
        <w:overflowPunct/>
        <w:topLinePunct w:val="0"/>
        <w:autoSpaceDE/>
        <w:autoSpaceDN/>
        <w:bidi w:val="0"/>
        <w:adjustRightInd/>
        <w:snapToGrid/>
        <w:spacing w:line="530" w:lineRule="exact"/>
        <w:ind w:firstLine="484" w:firstLineChars="202"/>
        <w:textAlignment w:val="auto"/>
        <w:rPr>
          <w:rFonts w:hint="eastAsia" w:ascii="等线" w:hAnsi="等线" w:eastAsia="等线" w:cs="等线"/>
          <w:bCs/>
          <w:sz w:val="24"/>
          <w:szCs w:val="24"/>
        </w:rPr>
      </w:pPr>
      <w:r>
        <w:rPr>
          <w:rFonts w:hint="eastAsia" w:ascii="等线" w:hAnsi="等线" w:eastAsia="等线" w:cs="等线"/>
          <w:bCs/>
          <w:sz w:val="24"/>
          <w:szCs w:val="24"/>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投标文件商务、技术证明文件正本中提供复印件加盖投标人公章，副本中可为正本的复印件）。</w:t>
      </w:r>
    </w:p>
    <w:p>
      <w:pPr>
        <w:rPr>
          <w:rFonts w:hint="eastAsia" w:ascii="等线" w:hAnsi="等线" w:eastAsia="等线" w:cs="等线"/>
          <w:bCs/>
          <w:sz w:val="24"/>
          <w:szCs w:val="24"/>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JhengHei">
    <w:panose1 w:val="020B0604030504040204"/>
    <w:charset w:val="88"/>
    <w:family w:val="swiss"/>
    <w:pitch w:val="default"/>
    <w:sig w:usb0="000002A7" w:usb1="28CF4400" w:usb2="00000016" w:usb3="00000000" w:csb0="00100009"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467993"/>
    <w:multiLevelType w:val="singleLevel"/>
    <w:tmpl w:val="C2467993"/>
    <w:lvl w:ilvl="0" w:tentative="0">
      <w:start w:val="1"/>
      <w:numFmt w:val="decimal"/>
      <w:suff w:val="nothing"/>
      <w:lvlText w:val="%1、"/>
      <w:lvlJc w:val="left"/>
    </w:lvl>
  </w:abstractNum>
  <w:abstractNum w:abstractNumId="1">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3">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0000002E"/>
    <w:multiLevelType w:val="multilevel"/>
    <w:tmpl w:val="0000002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00000040"/>
    <w:multiLevelType w:val="multilevel"/>
    <w:tmpl w:val="00000040"/>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7">
    <w:nsid w:val="5DC3DA6F"/>
    <w:multiLevelType w:val="singleLevel"/>
    <w:tmpl w:val="5DC3DA6F"/>
    <w:lvl w:ilvl="0" w:tentative="0">
      <w:start w:val="1"/>
      <w:numFmt w:val="chineseCounting"/>
      <w:suff w:val="nothing"/>
      <w:lvlText w:val="%1、"/>
      <w:lvlJc w:val="left"/>
      <w:rPr>
        <w:rFonts w:hint="eastAsia"/>
      </w:rPr>
    </w:lvl>
  </w:abstractNum>
  <w:num w:numId="1">
    <w:abstractNumId w:val="4"/>
  </w:num>
  <w:num w:numId="2">
    <w:abstractNumId w:val="5"/>
  </w:num>
  <w:num w:numId="3">
    <w:abstractNumId w:val="3"/>
  </w:num>
  <w:num w:numId="4">
    <w:abstractNumId w:val="7"/>
  </w:num>
  <w:num w:numId="5">
    <w:abstractNumId w:val="0"/>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E21C48"/>
    <w:rsid w:val="018B10D9"/>
    <w:rsid w:val="0CE21C48"/>
    <w:rsid w:val="1B607E89"/>
    <w:rsid w:val="284018AA"/>
    <w:rsid w:val="311D4AB3"/>
    <w:rsid w:val="5BFA307C"/>
    <w:rsid w:val="64064050"/>
    <w:rsid w:val="77E04824"/>
    <w:rsid w:val="794F1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left"/>
    </w:pPr>
    <w:rPr>
      <w:rFonts w:ascii="等线" w:hAnsi="等线" w:eastAsia="等线" w:cs="宋体"/>
      <w:kern w:val="2"/>
      <w:sz w:val="24"/>
      <w:szCs w:val="24"/>
      <w:lang w:val="en-US" w:eastAsia="zh-CN" w:bidi="ar-SA"/>
    </w:rPr>
  </w:style>
  <w:style w:type="paragraph" w:styleId="3">
    <w:name w:val="heading 1"/>
    <w:basedOn w:val="1"/>
    <w:next w:val="1"/>
    <w:qFormat/>
    <w:uiPriority w:val="0"/>
    <w:pPr>
      <w:ind w:left="3"/>
      <w:jc w:val="center"/>
      <w:outlineLvl w:val="0"/>
    </w:pPr>
    <w:rPr>
      <w:rFonts w:ascii="Microsoft JhengHei" w:hAnsi="Microsoft JhengHei" w:eastAsia="黑体"/>
      <w:b/>
      <w:bCs/>
      <w:sz w:val="32"/>
      <w:szCs w:val="44"/>
      <w:lang w:eastAsia="en-US"/>
    </w:rPr>
  </w:style>
  <w:style w:type="paragraph" w:styleId="4">
    <w:name w:val="heading 2"/>
    <w:basedOn w:val="1"/>
    <w:next w:val="1"/>
    <w:semiHidden/>
    <w:unhideWhenUsed/>
    <w:qFormat/>
    <w:uiPriority w:val="0"/>
    <w:pPr>
      <w:ind w:left="100"/>
      <w:outlineLvl w:val="1"/>
    </w:pPr>
    <w:rPr>
      <w:rFonts w:ascii="Microsoft JhengHei" w:hAnsi="Microsoft JhengHei" w:eastAsia="等线"/>
      <w:b/>
      <w:bCs/>
      <w:sz w:val="28"/>
      <w:szCs w:val="32"/>
      <w:lang w:eastAsia="en-US"/>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hAnsi="Times New Roman" w:eastAsia="楷体_GB2312" w:cs="Times New Roman"/>
      <w:sz w:val="28"/>
      <w:szCs w:val="24"/>
    </w:rPr>
  </w:style>
  <w:style w:type="paragraph" w:styleId="5">
    <w:name w:val="Title"/>
    <w:basedOn w:val="1"/>
    <w:qFormat/>
    <w:uiPriority w:val="0"/>
    <w:pPr>
      <w:spacing w:before="240" w:beforeLines="0" w:after="60" w:afterLines="0"/>
      <w:jc w:val="center"/>
      <w:outlineLvl w:val="0"/>
    </w:pPr>
    <w:rPr>
      <w:rFonts w:ascii="Arial" w:hAnsi="Arial" w:eastAsia="宋体" w:cs="Arial"/>
      <w:b/>
      <w:bCs/>
      <w:sz w:val="32"/>
      <w:szCs w:val="32"/>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2020-11-19T02:40:00Z</dcterms:created>
  <dc:creator>南瓜、花</dc:creator>
  <cp:lastModifiedBy>Administrator</cp:lastModifiedBy>
  <dcterms:modified xsi:type="dcterms:W3CDTF">2020-11-20T08:20:18Z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