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line="480" w:lineRule="exact"/>
        <w:ind w:leftChars="0" w:right="-63" w:rightChars="-30"/>
        <w:jc w:val="center"/>
        <w:rPr>
          <w:rFonts w:hint="eastAsia" w:ascii="宋体" w:hAnsi="宋体" w:cs="宋体"/>
          <w:bCs w:val="0"/>
        </w:rPr>
      </w:pPr>
      <w:bookmarkStart w:id="0" w:name="_Toc26886"/>
      <w:r>
        <w:rPr>
          <w:rFonts w:hint="eastAsia" w:ascii="宋体" w:hAnsi="宋体" w:cs="宋体"/>
          <w:bCs w:val="0"/>
        </w:rPr>
        <w:t>采购需求</w:t>
      </w:r>
      <w:bookmarkEnd w:id="0"/>
    </w:p>
    <w:p>
      <w:pPr>
        <w:widowControl/>
        <w:numPr>
          <w:ilvl w:val="3"/>
          <w:numId w:val="1"/>
        </w:numPr>
        <w:adjustRightInd w:val="0"/>
        <w:snapToGrid w:val="0"/>
        <w:spacing w:line="400" w:lineRule="exact"/>
        <w:rPr>
          <w:rFonts w:ascii="宋体" w:hAnsi="宋体"/>
          <w:b/>
          <w:color w:val="000000"/>
          <w:kern w:val="0"/>
          <w:sz w:val="28"/>
          <w:szCs w:val="28"/>
        </w:rPr>
      </w:pPr>
      <w:r>
        <w:rPr>
          <w:rFonts w:ascii="宋体" w:hAnsi="宋体"/>
          <w:b/>
          <w:color w:val="000000"/>
          <w:kern w:val="0"/>
          <w:sz w:val="28"/>
          <w:szCs w:val="28"/>
        </w:rPr>
        <w:t>相关说明</w:t>
      </w:r>
    </w:p>
    <w:p>
      <w:pPr>
        <w:widowControl/>
        <w:numPr>
          <w:ilvl w:val="0"/>
          <w:numId w:val="0"/>
        </w:numPr>
        <w:adjustRightInd w:val="0"/>
        <w:snapToGrid w:val="0"/>
        <w:spacing w:line="400" w:lineRule="exact"/>
        <w:ind w:leftChars="200" w:firstLine="420" w:firstLineChars="200"/>
        <w:jc w:val="left"/>
        <w:rPr>
          <w:rFonts w:hint="eastAsia" w:ascii="宋体" w:hAnsi="宋体" w:cs="宋体"/>
          <w:bCs/>
          <w:color w:val="000000"/>
          <w:kern w:val="0"/>
          <w:sz w:val="21"/>
          <w:szCs w:val="18"/>
        </w:rPr>
      </w:pPr>
      <w:r>
        <w:rPr>
          <w:rFonts w:hint="eastAsia" w:ascii="宋体" w:hAnsi="宋体" w:cs="宋体"/>
          <w:bCs/>
          <w:color w:val="000000"/>
          <w:kern w:val="0"/>
          <w:sz w:val="21"/>
          <w:szCs w:val="18"/>
          <w:lang w:val="en-US" w:eastAsia="zh-CN"/>
        </w:rPr>
        <w:t>1.</w:t>
      </w:r>
      <w:r>
        <w:rPr>
          <w:rFonts w:ascii="宋体" w:hAnsi="宋体" w:cs="宋体"/>
          <w:bCs/>
          <w:color w:val="000000"/>
          <w:kern w:val="0"/>
          <w:sz w:val="21"/>
          <w:szCs w:val="18"/>
        </w:rPr>
        <w:t>招标文件中</w:t>
      </w:r>
      <w:r>
        <w:rPr>
          <w:rFonts w:hint="eastAsia" w:ascii="宋体" w:hAnsi="宋体" w:cs="宋体"/>
          <w:bCs/>
          <w:color w:val="000000"/>
          <w:kern w:val="0"/>
          <w:sz w:val="21"/>
          <w:szCs w:val="18"/>
        </w:rPr>
        <w:t>列出</w:t>
      </w:r>
      <w:r>
        <w:rPr>
          <w:rFonts w:ascii="宋体" w:hAnsi="宋体" w:cs="宋体"/>
          <w:bCs/>
          <w:color w:val="000000"/>
          <w:kern w:val="0"/>
          <w:sz w:val="21"/>
          <w:szCs w:val="18"/>
        </w:rPr>
        <w:t>的质</w:t>
      </w:r>
      <w:r>
        <w:rPr>
          <w:rFonts w:hint="eastAsia" w:ascii="宋体" w:hAnsi="宋体" w:cs="宋体"/>
          <w:bCs/>
          <w:color w:val="000000"/>
          <w:kern w:val="0"/>
          <w:sz w:val="21"/>
          <w:szCs w:val="18"/>
        </w:rPr>
        <w:t>量技术参数</w:t>
      </w:r>
      <w:r>
        <w:rPr>
          <w:rFonts w:ascii="宋体" w:hAnsi="宋体" w:cs="宋体"/>
          <w:bCs/>
          <w:color w:val="000000"/>
          <w:kern w:val="0"/>
          <w:sz w:val="21"/>
          <w:szCs w:val="18"/>
        </w:rPr>
        <w:t>或</w:t>
      </w:r>
      <w:r>
        <w:rPr>
          <w:rFonts w:hint="eastAsia" w:ascii="宋体" w:hAnsi="宋体" w:cs="宋体"/>
          <w:bCs/>
          <w:color w:val="000000"/>
          <w:kern w:val="0"/>
          <w:sz w:val="21"/>
          <w:szCs w:val="18"/>
        </w:rPr>
        <w:t>型号</w:t>
      </w:r>
      <w:r>
        <w:rPr>
          <w:rFonts w:ascii="宋体" w:hAnsi="宋体" w:cs="宋体"/>
          <w:bCs/>
          <w:color w:val="000000"/>
          <w:kern w:val="0"/>
          <w:sz w:val="21"/>
          <w:szCs w:val="18"/>
        </w:rPr>
        <w:t>与某产品相同</w:t>
      </w:r>
      <w:r>
        <w:rPr>
          <w:rFonts w:hint="eastAsia" w:ascii="宋体" w:hAnsi="宋体" w:cs="宋体"/>
          <w:bCs/>
          <w:color w:val="000000"/>
          <w:kern w:val="0"/>
          <w:sz w:val="21"/>
          <w:szCs w:val="18"/>
        </w:rPr>
        <w:t>时</w:t>
      </w:r>
      <w:r>
        <w:rPr>
          <w:rFonts w:ascii="宋体" w:hAnsi="宋体" w:cs="宋体"/>
          <w:bCs/>
          <w:color w:val="000000"/>
          <w:kern w:val="0"/>
          <w:sz w:val="21"/>
          <w:szCs w:val="18"/>
        </w:rPr>
        <w:t>仅</w:t>
      </w:r>
      <w:r>
        <w:rPr>
          <w:rFonts w:hint="eastAsia" w:ascii="宋体" w:hAnsi="宋体" w:cs="宋体"/>
          <w:bCs/>
          <w:color w:val="000000"/>
          <w:kern w:val="0"/>
          <w:sz w:val="21"/>
          <w:szCs w:val="18"/>
        </w:rPr>
        <w:t>作为</w:t>
      </w:r>
      <w:r>
        <w:rPr>
          <w:rFonts w:ascii="宋体" w:hAnsi="宋体" w:cs="宋体"/>
          <w:bCs/>
          <w:color w:val="000000"/>
          <w:kern w:val="0"/>
          <w:sz w:val="21"/>
          <w:szCs w:val="18"/>
        </w:rPr>
        <w:t>投标人选择</w:t>
      </w:r>
      <w:r>
        <w:rPr>
          <w:rFonts w:hint="eastAsia" w:ascii="宋体" w:hAnsi="宋体" w:cs="宋体"/>
          <w:bCs/>
          <w:color w:val="000000"/>
          <w:kern w:val="0"/>
          <w:sz w:val="21"/>
          <w:szCs w:val="18"/>
        </w:rPr>
        <w:t>投标产品</w:t>
      </w:r>
      <w:r>
        <w:rPr>
          <w:rFonts w:ascii="宋体" w:hAnsi="宋体" w:cs="宋体"/>
          <w:bCs/>
          <w:color w:val="000000"/>
          <w:kern w:val="0"/>
          <w:sz w:val="21"/>
          <w:szCs w:val="18"/>
        </w:rPr>
        <w:t>时在质量水平上</w:t>
      </w:r>
      <w:r>
        <w:rPr>
          <w:rFonts w:hint="eastAsia" w:ascii="宋体" w:hAnsi="宋体" w:cs="宋体"/>
          <w:bCs/>
          <w:color w:val="000000"/>
          <w:kern w:val="0"/>
          <w:sz w:val="21"/>
          <w:szCs w:val="18"/>
        </w:rPr>
        <w:t>的</w:t>
      </w:r>
      <w:r>
        <w:rPr>
          <w:rFonts w:ascii="宋体" w:hAnsi="宋体" w:cs="宋体"/>
          <w:bCs/>
          <w:color w:val="000000"/>
          <w:kern w:val="0"/>
          <w:sz w:val="21"/>
          <w:szCs w:val="18"/>
        </w:rPr>
        <w:t>参考，不</w:t>
      </w:r>
      <w:r>
        <w:rPr>
          <w:rFonts w:hint="eastAsia" w:ascii="宋体" w:hAnsi="宋体" w:cs="宋体"/>
          <w:bCs/>
          <w:color w:val="000000"/>
          <w:kern w:val="0"/>
          <w:sz w:val="21"/>
          <w:szCs w:val="18"/>
        </w:rPr>
        <w:t>强</w:t>
      </w:r>
      <w:r>
        <w:rPr>
          <w:rFonts w:ascii="宋体" w:hAnsi="宋体" w:cs="宋体"/>
          <w:bCs/>
          <w:color w:val="000000"/>
          <w:kern w:val="0"/>
          <w:sz w:val="21"/>
          <w:szCs w:val="18"/>
        </w:rPr>
        <w:t>制</w:t>
      </w:r>
      <w:r>
        <w:rPr>
          <w:rFonts w:hint="eastAsia" w:ascii="宋体" w:hAnsi="宋体" w:cs="宋体"/>
          <w:bCs/>
          <w:color w:val="000000"/>
          <w:kern w:val="0"/>
          <w:sz w:val="21"/>
          <w:szCs w:val="18"/>
        </w:rPr>
        <w:t>采购某一特定产品</w:t>
      </w:r>
      <w:r>
        <w:rPr>
          <w:rFonts w:ascii="宋体" w:hAnsi="宋体" w:cs="宋体"/>
          <w:bCs/>
          <w:color w:val="000000"/>
          <w:kern w:val="0"/>
          <w:sz w:val="21"/>
          <w:szCs w:val="18"/>
        </w:rPr>
        <w:t>，投标人可提供</w:t>
      </w:r>
      <w:r>
        <w:rPr>
          <w:rFonts w:hint="eastAsia" w:ascii="宋体" w:hAnsi="宋体" w:cs="宋体"/>
          <w:bCs/>
          <w:color w:val="000000"/>
          <w:kern w:val="0"/>
          <w:sz w:val="21"/>
          <w:szCs w:val="18"/>
        </w:rPr>
        <w:t>符合采购需求</w:t>
      </w:r>
      <w:r>
        <w:rPr>
          <w:rFonts w:ascii="宋体" w:hAnsi="宋体" w:cs="宋体"/>
          <w:bCs/>
          <w:color w:val="000000"/>
          <w:kern w:val="0"/>
          <w:sz w:val="21"/>
          <w:szCs w:val="18"/>
        </w:rPr>
        <w:t>或</w:t>
      </w:r>
      <w:r>
        <w:rPr>
          <w:rFonts w:hint="eastAsia" w:ascii="宋体" w:hAnsi="宋体" w:cs="宋体"/>
          <w:bCs/>
          <w:color w:val="000000"/>
          <w:kern w:val="0"/>
          <w:sz w:val="21"/>
          <w:szCs w:val="18"/>
        </w:rPr>
        <w:t>更</w:t>
      </w:r>
      <w:r>
        <w:rPr>
          <w:rFonts w:ascii="宋体" w:hAnsi="宋体" w:cs="宋体"/>
          <w:bCs/>
          <w:color w:val="000000"/>
          <w:kern w:val="0"/>
          <w:sz w:val="21"/>
          <w:szCs w:val="18"/>
        </w:rPr>
        <w:t>优</w:t>
      </w:r>
      <w:r>
        <w:rPr>
          <w:rFonts w:hint="eastAsia" w:ascii="宋体" w:hAnsi="宋体" w:cs="宋体"/>
          <w:bCs/>
          <w:color w:val="000000"/>
          <w:kern w:val="0"/>
          <w:sz w:val="21"/>
          <w:szCs w:val="18"/>
        </w:rPr>
        <w:t>的产品及</w:t>
      </w:r>
      <w:r>
        <w:rPr>
          <w:rFonts w:ascii="宋体" w:hAnsi="宋体" w:cs="宋体"/>
          <w:bCs/>
          <w:color w:val="000000"/>
          <w:kern w:val="0"/>
          <w:sz w:val="21"/>
          <w:szCs w:val="18"/>
        </w:rPr>
        <w:t>方案。</w:t>
      </w:r>
    </w:p>
    <w:p>
      <w:pPr>
        <w:widowControl/>
        <w:numPr>
          <w:ilvl w:val="0"/>
          <w:numId w:val="0"/>
        </w:numPr>
        <w:adjustRightInd w:val="0"/>
        <w:snapToGrid w:val="0"/>
        <w:spacing w:line="400" w:lineRule="exact"/>
        <w:ind w:leftChars="200" w:firstLine="420" w:firstLineChars="200"/>
        <w:jc w:val="left"/>
        <w:rPr>
          <w:rFonts w:hint="eastAsia" w:ascii="宋体" w:hAnsi="宋体" w:cs="宋体"/>
          <w:bCs/>
          <w:color w:val="000000"/>
          <w:kern w:val="0"/>
          <w:sz w:val="21"/>
          <w:szCs w:val="18"/>
        </w:rPr>
      </w:pPr>
      <w:r>
        <w:rPr>
          <w:rFonts w:hint="eastAsia" w:ascii="宋体" w:hAnsi="宋体" w:cs="宋体"/>
          <w:bCs/>
          <w:color w:val="000000"/>
          <w:kern w:val="0"/>
          <w:sz w:val="21"/>
          <w:szCs w:val="18"/>
          <w:lang w:val="en-US" w:eastAsia="zh-CN"/>
        </w:rPr>
        <w:t>2.</w:t>
      </w:r>
      <w:r>
        <w:rPr>
          <w:rFonts w:hint="eastAsia" w:ascii="宋体" w:hAnsi="宋体" w:cs="宋体"/>
          <w:bCs/>
          <w:color w:val="000000"/>
          <w:kern w:val="0"/>
          <w:sz w:val="21"/>
          <w:szCs w:val="18"/>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cs="宋体"/>
          <w:b/>
          <w:bCs/>
          <w:color w:val="0000FF"/>
          <w:kern w:val="0"/>
          <w:sz w:val="21"/>
          <w:szCs w:val="18"/>
        </w:rPr>
      </w:pPr>
      <w:r>
        <w:rPr>
          <w:rFonts w:hint="eastAsia" w:ascii="宋体" w:hAnsi="宋体" w:cs="宋体"/>
          <w:b/>
          <w:bCs/>
          <w:color w:val="0000FF"/>
          <w:kern w:val="0"/>
          <w:sz w:val="21"/>
          <w:szCs w:val="18"/>
        </w:rPr>
        <w:t>本次采购产品如在国家强制性认证范围内的必须取得国家强制性CCC认证（提供CCC认证证书，投标文件商务、技术证明文件正本中提供复印件加盖投标人或</w:t>
      </w:r>
      <w:r>
        <w:rPr>
          <w:rFonts w:hint="eastAsia" w:ascii="宋体" w:hAnsi="宋体" w:cs="宋体"/>
          <w:b/>
          <w:bCs/>
          <w:color w:val="0000FF"/>
          <w:kern w:val="0"/>
          <w:sz w:val="21"/>
          <w:szCs w:val="18"/>
          <w:lang w:eastAsia="zh-CN"/>
        </w:rPr>
        <w:t>生产厂家</w:t>
      </w:r>
      <w:r>
        <w:rPr>
          <w:rFonts w:hint="eastAsia" w:ascii="宋体" w:hAnsi="宋体" w:cs="宋体"/>
          <w:b/>
          <w:bCs/>
          <w:color w:val="0000FF"/>
          <w:kern w:val="0"/>
          <w:sz w:val="21"/>
          <w:szCs w:val="18"/>
        </w:rPr>
        <w:t>公章，副本可为正本复印件）。</w:t>
      </w:r>
    </w:p>
    <w:p>
      <w:pPr>
        <w:widowControl/>
        <w:numPr>
          <w:ilvl w:val="0"/>
          <w:numId w:val="0"/>
        </w:numPr>
        <w:adjustRightInd w:val="0"/>
        <w:snapToGrid w:val="0"/>
        <w:spacing w:line="400" w:lineRule="exact"/>
        <w:ind w:leftChars="200" w:firstLine="210" w:firstLineChars="100"/>
        <w:jc w:val="left"/>
        <w:rPr>
          <w:rFonts w:hint="eastAsia" w:ascii="宋体" w:hAnsi="宋体" w:cs="宋体"/>
          <w:bCs/>
          <w:color w:val="000000"/>
          <w:kern w:val="0"/>
          <w:sz w:val="21"/>
          <w:szCs w:val="18"/>
        </w:rPr>
      </w:pPr>
      <w:r>
        <w:rPr>
          <w:rFonts w:hint="eastAsia" w:ascii="宋体" w:hAnsi="宋体" w:cs="宋体"/>
          <w:bCs/>
          <w:color w:val="000000"/>
          <w:kern w:val="0"/>
          <w:sz w:val="21"/>
          <w:szCs w:val="18"/>
          <w:lang w:val="en-US" w:eastAsia="zh-CN"/>
        </w:rPr>
        <w:t>3.</w:t>
      </w:r>
      <w:r>
        <w:rPr>
          <w:rFonts w:ascii="宋体" w:hAnsi="宋体" w:cs="宋体"/>
          <w:bCs/>
          <w:color w:val="000000"/>
          <w:kern w:val="0"/>
          <w:sz w:val="21"/>
          <w:szCs w:val="18"/>
        </w:rPr>
        <w:t>本采购项目为交钥匙项目，</w:t>
      </w:r>
      <w:r>
        <w:rPr>
          <w:rFonts w:hint="eastAsia" w:ascii="宋体" w:hAnsi="宋体" w:cs="宋体"/>
          <w:bCs/>
          <w:color w:val="000000"/>
          <w:kern w:val="0"/>
          <w:sz w:val="21"/>
          <w:szCs w:val="18"/>
        </w:rPr>
        <w:t>验收合格前</w:t>
      </w:r>
      <w:r>
        <w:rPr>
          <w:rFonts w:ascii="宋体" w:hAnsi="宋体" w:cs="宋体"/>
          <w:bCs/>
          <w:color w:val="000000"/>
          <w:kern w:val="0"/>
          <w:sz w:val="21"/>
          <w:szCs w:val="18"/>
        </w:rPr>
        <w:t>所需的一切费用</w:t>
      </w:r>
      <w:r>
        <w:rPr>
          <w:rFonts w:hint="eastAsia" w:ascii="宋体" w:hAnsi="宋体" w:cs="宋体"/>
          <w:bCs/>
          <w:color w:val="000000"/>
          <w:kern w:val="0"/>
          <w:sz w:val="21"/>
          <w:szCs w:val="18"/>
        </w:rPr>
        <w:t>均</w:t>
      </w:r>
      <w:r>
        <w:rPr>
          <w:rFonts w:ascii="宋体" w:hAnsi="宋体" w:cs="宋体"/>
          <w:bCs/>
          <w:color w:val="000000"/>
          <w:kern w:val="0"/>
          <w:sz w:val="21"/>
          <w:szCs w:val="18"/>
        </w:rPr>
        <w:t>包含在报价之中，采购人不</w:t>
      </w:r>
      <w:r>
        <w:rPr>
          <w:rFonts w:hint="eastAsia" w:ascii="宋体" w:hAnsi="宋体" w:cs="宋体"/>
          <w:bCs/>
          <w:color w:val="000000"/>
          <w:kern w:val="0"/>
          <w:sz w:val="21"/>
          <w:szCs w:val="18"/>
        </w:rPr>
        <w:t>承担成交价格以外的</w:t>
      </w:r>
      <w:r>
        <w:rPr>
          <w:rFonts w:ascii="宋体" w:hAnsi="宋体" w:cs="宋体"/>
          <w:bCs/>
          <w:color w:val="000000"/>
          <w:kern w:val="0"/>
          <w:sz w:val="21"/>
          <w:szCs w:val="18"/>
        </w:rPr>
        <w:t>任何费用。</w:t>
      </w:r>
    </w:p>
    <w:p>
      <w:pPr>
        <w:widowControl/>
        <w:numPr>
          <w:ilvl w:val="3"/>
          <w:numId w:val="1"/>
        </w:numPr>
        <w:adjustRightInd w:val="0"/>
        <w:snapToGrid w:val="0"/>
        <w:spacing w:line="400" w:lineRule="exact"/>
        <w:rPr>
          <w:rFonts w:hint="eastAsia" w:ascii="宋体" w:hAnsi="宋体"/>
          <w:b/>
          <w:color w:val="000000"/>
          <w:kern w:val="0"/>
          <w:sz w:val="28"/>
          <w:szCs w:val="28"/>
        </w:rPr>
      </w:pPr>
      <w:r>
        <w:rPr>
          <w:rFonts w:hint="eastAsia" w:ascii="宋体" w:hAnsi="宋体"/>
          <w:b/>
          <w:color w:val="000000"/>
          <w:kern w:val="0"/>
          <w:sz w:val="28"/>
          <w:szCs w:val="28"/>
        </w:rPr>
        <w:t>商务要求：</w:t>
      </w:r>
    </w:p>
    <w:p>
      <w:pPr>
        <w:widowControl/>
        <w:numPr>
          <w:ilvl w:val="0"/>
          <w:numId w:val="0"/>
        </w:numPr>
        <w:adjustRightInd w:val="0"/>
        <w:snapToGrid w:val="0"/>
        <w:spacing w:line="400" w:lineRule="exact"/>
        <w:ind w:leftChars="200"/>
        <w:jc w:val="left"/>
        <w:rPr>
          <w:rFonts w:hint="eastAsia" w:ascii="宋体" w:hAnsi="宋体"/>
          <w:color w:val="000000"/>
          <w:kern w:val="0"/>
          <w:szCs w:val="21"/>
        </w:rPr>
      </w:pPr>
      <w:r>
        <w:rPr>
          <w:rFonts w:hint="eastAsia" w:ascii="宋体" w:hAnsi="宋体"/>
          <w:color w:val="000000"/>
          <w:kern w:val="0"/>
          <w:szCs w:val="21"/>
          <w:lang w:val="en-US" w:eastAsia="zh-CN"/>
        </w:rPr>
        <w:t>1.</w:t>
      </w:r>
      <w:r>
        <w:rPr>
          <w:rFonts w:hint="eastAsia" w:ascii="宋体" w:hAnsi="宋体"/>
          <w:color w:val="000000"/>
          <w:kern w:val="0"/>
          <w:szCs w:val="21"/>
        </w:rPr>
        <w:t>合同履行期限：</w:t>
      </w:r>
      <w:r>
        <w:rPr>
          <w:rFonts w:hint="eastAsia" w:ascii="宋体" w:hAnsi="宋体"/>
          <w:color w:val="000000"/>
          <w:kern w:val="0"/>
          <w:szCs w:val="21"/>
          <w:lang w:eastAsia="zh-CN"/>
        </w:rPr>
        <w:t>两年</w:t>
      </w:r>
    </w:p>
    <w:p>
      <w:pPr>
        <w:widowControl/>
        <w:numPr>
          <w:ilvl w:val="0"/>
          <w:numId w:val="0"/>
        </w:numPr>
        <w:tabs>
          <w:tab w:val="left" w:pos="605"/>
        </w:tabs>
        <w:adjustRightInd w:val="0"/>
        <w:snapToGrid w:val="0"/>
        <w:spacing w:line="400" w:lineRule="exact"/>
        <w:ind w:leftChars="200"/>
        <w:jc w:val="left"/>
        <w:rPr>
          <w:rFonts w:hint="eastAsia" w:ascii="宋体" w:hAnsi="宋体"/>
          <w:color w:val="000000"/>
          <w:kern w:val="0"/>
          <w:szCs w:val="21"/>
        </w:rPr>
      </w:pPr>
      <w:r>
        <w:rPr>
          <w:rFonts w:hint="eastAsia" w:ascii="宋体" w:hAnsi="宋体"/>
          <w:color w:val="000000"/>
          <w:kern w:val="0"/>
          <w:szCs w:val="21"/>
          <w:lang w:val="en-US" w:eastAsia="zh-CN"/>
        </w:rPr>
        <w:t>2.</w:t>
      </w:r>
      <w:r>
        <w:rPr>
          <w:rFonts w:hint="eastAsia" w:ascii="宋体" w:hAnsi="宋体"/>
          <w:color w:val="000000"/>
          <w:kern w:val="0"/>
          <w:szCs w:val="21"/>
          <w:lang w:eastAsia="zh-CN"/>
        </w:rPr>
        <w:t>服务</w:t>
      </w:r>
      <w:r>
        <w:rPr>
          <w:rFonts w:hint="eastAsia" w:ascii="宋体" w:hAnsi="宋体"/>
          <w:color w:val="000000"/>
          <w:kern w:val="0"/>
          <w:szCs w:val="21"/>
        </w:rPr>
        <w:t>地点：</w:t>
      </w:r>
      <w:r>
        <w:rPr>
          <w:rFonts w:hint="eastAsia" w:ascii="宋体" w:hAnsi="宋体"/>
          <w:color w:val="000000"/>
          <w:kern w:val="0"/>
          <w:szCs w:val="21"/>
          <w:lang w:eastAsia="zh-CN"/>
        </w:rPr>
        <w:t>武陟县区域内</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lang w:val="en-US" w:eastAsia="zh-CN"/>
        </w:rPr>
        <w:t>3.</w:t>
      </w:r>
      <w:r>
        <w:rPr>
          <w:rFonts w:hint="eastAsia" w:ascii="宋体" w:hAnsi="宋体"/>
          <w:color w:val="000000"/>
          <w:kern w:val="0"/>
          <w:szCs w:val="21"/>
        </w:rPr>
        <w:t xml:space="preserve">质量标准：符合国家、行业及地区现行相关规范和标准，满足采购人要求，并通过相关部门的综合考评考核和验收 </w:t>
      </w:r>
    </w:p>
    <w:p>
      <w:pPr>
        <w:widowControl/>
        <w:numPr>
          <w:ilvl w:val="0"/>
          <w:numId w:val="0"/>
        </w:numPr>
        <w:adjustRightInd w:val="0"/>
        <w:snapToGrid w:val="0"/>
        <w:spacing w:line="400" w:lineRule="exact"/>
        <w:ind w:leftChars="200"/>
        <w:jc w:val="left"/>
        <w:rPr>
          <w:rFonts w:hint="eastAsia" w:ascii="宋体" w:hAnsi="宋体"/>
          <w:color w:val="000000"/>
          <w:kern w:val="0"/>
          <w:szCs w:val="21"/>
        </w:rPr>
      </w:pPr>
      <w:r>
        <w:rPr>
          <w:rFonts w:hint="eastAsia" w:ascii="宋体" w:hAnsi="宋体"/>
          <w:color w:val="000000"/>
          <w:kern w:val="0"/>
          <w:szCs w:val="21"/>
          <w:lang w:val="en-US" w:eastAsia="zh-CN"/>
        </w:rPr>
        <w:t>4.</w:t>
      </w:r>
      <w:r>
        <w:rPr>
          <w:rFonts w:hint="eastAsia" w:ascii="宋体" w:hAnsi="宋体"/>
          <w:color w:val="000000"/>
          <w:kern w:val="0"/>
          <w:szCs w:val="21"/>
          <w:lang w:eastAsia="zh-CN"/>
        </w:rPr>
        <w:t>服务</w:t>
      </w:r>
      <w:r>
        <w:rPr>
          <w:rFonts w:hint="eastAsia" w:ascii="宋体" w:hAnsi="宋体"/>
          <w:color w:val="000000"/>
          <w:kern w:val="0"/>
          <w:szCs w:val="21"/>
        </w:rPr>
        <w:t xml:space="preserve">保证期：合同履行期限结束后一年 </w:t>
      </w:r>
    </w:p>
    <w:p>
      <w:pPr>
        <w:widowControl/>
        <w:numPr>
          <w:ilvl w:val="0"/>
          <w:numId w:val="0"/>
        </w:numPr>
        <w:adjustRightInd w:val="0"/>
        <w:snapToGrid w:val="0"/>
        <w:spacing w:line="400" w:lineRule="exact"/>
        <w:ind w:firstLine="420" w:firstLineChars="200"/>
        <w:jc w:val="left"/>
        <w:rPr>
          <w:rFonts w:hint="eastAsia" w:ascii="宋体" w:hAnsi="宋体"/>
          <w:b/>
          <w:color w:val="000000"/>
          <w:kern w:val="0"/>
          <w:sz w:val="28"/>
          <w:szCs w:val="28"/>
        </w:rPr>
      </w:pPr>
      <w:r>
        <w:rPr>
          <w:rFonts w:hint="eastAsia" w:ascii="宋体" w:hAnsi="宋体"/>
          <w:color w:val="000000"/>
          <w:kern w:val="0"/>
          <w:szCs w:val="21"/>
          <w:lang w:val="en-US" w:eastAsia="zh-CN"/>
        </w:rPr>
        <w:t>5.</w:t>
      </w:r>
      <w:r>
        <w:rPr>
          <w:rFonts w:hint="eastAsia" w:ascii="宋体" w:hAnsi="宋体"/>
          <w:color w:val="000000"/>
          <w:kern w:val="0"/>
          <w:szCs w:val="21"/>
        </w:rPr>
        <w:t>付款方式：根据乙方项目进展并提供相应发票、合同及台账明细，按照项目实施时间节点拨付款项，拨付总金额不超过合同总价的90%，项目实施通过商务厅或委托的第三方机构验收合格后付至（如有审计的项目需经审计后付至）审定金额的97%，留3%为质保金，质保期结束无质量问题一次性支付</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6商品包装要求：</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6.1适用范围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本标准规定了商品使用的塑料、纸质、木质等包装材料的环保要求。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6.2商品包装环保要求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（1）商品包装层数不得超过 3 层，空隙率不大于 40%；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（2）商品包装尽可能使用单一材质的包装材料，如因功能需求必需使用不同材质，不同材质间应便于分离；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（3）商品包装中铅、汞、镉、六价铬的总含量应不大于100mg/kg；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（4）商品包装印刷使用的油墨中挥发性有机化合物(VOCs)含量应不大于 5%（以重量计）；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（5）塑料材质商品包装上呈现的印刷颜色不得超过6色；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（6）纸质商品包装应使用75%以上的可再生纤维原料生产； </w:t>
      </w:r>
    </w:p>
    <w:p>
      <w:pPr>
        <w:widowControl/>
        <w:numPr>
          <w:ilvl w:val="0"/>
          <w:numId w:val="0"/>
        </w:numPr>
        <w:adjustRightInd w:val="0"/>
        <w:snapToGrid w:val="0"/>
        <w:spacing w:line="400" w:lineRule="exact"/>
        <w:ind w:firstLine="420" w:firstLineChars="200"/>
        <w:jc w:val="left"/>
        <w:rPr>
          <w:rFonts w:hint="eastAsia" w:ascii="宋体" w:hAnsi="宋体"/>
          <w:color w:val="000000"/>
          <w:kern w:val="0"/>
          <w:szCs w:val="21"/>
          <w:lang w:val="en-US" w:eastAsia="zh-CN"/>
        </w:rPr>
      </w:pPr>
      <w:r>
        <w:rPr>
          <w:rFonts w:hint="eastAsia" w:ascii="宋体" w:hAnsi="宋体"/>
          <w:color w:val="000000"/>
          <w:kern w:val="0"/>
          <w:szCs w:val="21"/>
          <w:lang w:val="en-US" w:eastAsia="zh-CN"/>
        </w:rPr>
        <w:t xml:space="preserve">（7）木质商品包装的原料应来源于可持续性森林。 </w:t>
      </w:r>
    </w:p>
    <w:p>
      <w:pPr>
        <w:widowControl/>
        <w:numPr>
          <w:ilvl w:val="0"/>
          <w:numId w:val="0"/>
        </w:numPr>
        <w:adjustRightInd w:val="0"/>
        <w:snapToGrid w:val="0"/>
        <w:spacing w:line="400" w:lineRule="exact"/>
        <w:ind w:leftChars="0"/>
        <w:rPr>
          <w:rFonts w:hint="eastAsia" w:ascii="宋体" w:hAnsi="宋体"/>
          <w:b/>
          <w:color w:val="000000"/>
          <w:kern w:val="0"/>
          <w:sz w:val="28"/>
          <w:szCs w:val="28"/>
        </w:rPr>
      </w:pPr>
      <w:r>
        <w:rPr>
          <w:rFonts w:hint="eastAsia" w:ascii="宋体" w:hAnsi="宋体"/>
          <w:b/>
          <w:color w:val="000000"/>
          <w:kern w:val="0"/>
          <w:sz w:val="28"/>
          <w:szCs w:val="28"/>
          <w:lang w:eastAsia="zh-CN"/>
        </w:rPr>
        <w:t>三、</w:t>
      </w:r>
      <w:r>
        <w:rPr>
          <w:rFonts w:hint="eastAsia" w:ascii="宋体" w:hAnsi="宋体"/>
          <w:b/>
          <w:color w:val="000000"/>
          <w:kern w:val="0"/>
          <w:sz w:val="28"/>
          <w:szCs w:val="28"/>
        </w:rPr>
        <w:t>采购内容及</w:t>
      </w:r>
      <w:r>
        <w:rPr>
          <w:rFonts w:hint="eastAsia" w:ascii="宋体" w:hAnsi="宋体"/>
          <w:b/>
          <w:color w:val="000000"/>
          <w:kern w:val="0"/>
          <w:sz w:val="28"/>
          <w:szCs w:val="28"/>
          <w:lang w:eastAsia="zh-CN"/>
        </w:rPr>
        <w:t>服务</w:t>
      </w:r>
      <w:r>
        <w:rPr>
          <w:rFonts w:hint="eastAsia" w:ascii="宋体" w:hAnsi="宋体"/>
          <w:b/>
          <w:color w:val="000000"/>
          <w:kern w:val="0"/>
          <w:sz w:val="28"/>
          <w:szCs w:val="28"/>
        </w:rPr>
        <w:t>要求</w:t>
      </w:r>
    </w:p>
    <w:p>
      <w:pPr>
        <w:pStyle w:val="5"/>
        <w:rPr>
          <w:rFonts w:hint="eastAsia"/>
        </w:rPr>
      </w:pPr>
    </w:p>
    <w:tbl>
      <w:tblPr>
        <w:tblStyle w:val="7"/>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66"/>
        <w:gridCol w:w="1283"/>
        <w:gridCol w:w="1617"/>
        <w:gridCol w:w="4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gridSpan w:val="2"/>
            <w:noWrap w:val="0"/>
            <w:vAlign w:val="top"/>
          </w:tcPr>
          <w:p>
            <w:pPr>
              <w:pStyle w:val="5"/>
              <w:ind w:left="0" w:leftChars="0" w:firstLine="0" w:firstLineChars="0"/>
              <w:jc w:val="center"/>
              <w:rPr>
                <w:rFonts w:hint="eastAsia" w:ascii="宋体" w:hAnsi="宋体" w:eastAsia="宋体" w:cs="宋体"/>
                <w:color w:val="auto"/>
                <w:sz w:val="21"/>
                <w:szCs w:val="21"/>
                <w:shd w:val="clear" w:color="auto" w:fill="auto"/>
                <w:vertAlign w:val="baseline"/>
                <w:lang w:val="en-US" w:eastAsia="zh-CN"/>
              </w:rPr>
            </w:pPr>
            <w:r>
              <w:rPr>
                <w:rFonts w:hint="eastAsia" w:ascii="宋体" w:hAnsi="宋体" w:eastAsia="宋体" w:cs="宋体"/>
                <w:color w:val="auto"/>
                <w:sz w:val="21"/>
                <w:szCs w:val="21"/>
                <w:highlight w:val="none"/>
                <w:shd w:val="clear" w:color="auto" w:fill="auto"/>
                <w:lang w:val="en-US" w:eastAsia="zh-CN"/>
              </w:rPr>
              <w:t>序号</w:t>
            </w:r>
          </w:p>
        </w:tc>
        <w:tc>
          <w:tcPr>
            <w:tcW w:w="2900" w:type="dxa"/>
            <w:gridSpan w:val="2"/>
            <w:noWrap w:val="0"/>
            <w:vAlign w:val="top"/>
          </w:tcPr>
          <w:p>
            <w:pPr>
              <w:pStyle w:val="5"/>
              <w:ind w:left="0" w:leftChars="0" w:firstLine="0" w:firstLineChars="0"/>
              <w:jc w:val="center"/>
              <w:rPr>
                <w:rFonts w:hint="eastAsia" w:ascii="宋体" w:hAnsi="宋体" w:eastAsia="宋体" w:cs="宋体"/>
                <w:color w:val="auto"/>
                <w:sz w:val="21"/>
                <w:szCs w:val="21"/>
                <w:shd w:val="clear" w:color="auto" w:fill="auto"/>
                <w:vertAlign w:val="baseline"/>
                <w:lang w:val="en-US" w:eastAsia="zh-CN"/>
              </w:rPr>
            </w:pPr>
            <w:r>
              <w:rPr>
                <w:rFonts w:hint="eastAsia" w:ascii="宋体" w:hAnsi="宋体" w:eastAsia="宋体" w:cs="宋体"/>
                <w:color w:val="auto"/>
                <w:sz w:val="21"/>
                <w:szCs w:val="21"/>
                <w:highlight w:val="none"/>
                <w:shd w:val="clear" w:color="auto" w:fill="auto"/>
                <w:lang w:val="en-US" w:eastAsia="zh-CN"/>
              </w:rPr>
              <w:t>服务内容</w:t>
            </w:r>
          </w:p>
        </w:tc>
        <w:tc>
          <w:tcPr>
            <w:tcW w:w="4913" w:type="dxa"/>
            <w:noWrap w:val="0"/>
            <w:vAlign w:val="top"/>
          </w:tcPr>
          <w:p>
            <w:pPr>
              <w:pStyle w:val="5"/>
              <w:ind w:left="0" w:leftChars="0" w:firstLine="0" w:firstLineChars="0"/>
              <w:jc w:val="center"/>
              <w:rPr>
                <w:rFonts w:hint="eastAsia" w:ascii="宋体" w:hAnsi="宋体" w:eastAsia="宋体" w:cs="宋体"/>
                <w:color w:val="auto"/>
                <w:sz w:val="21"/>
                <w:szCs w:val="21"/>
                <w:shd w:val="clear" w:color="auto" w:fill="auto"/>
                <w:vertAlign w:val="baseline"/>
                <w:lang w:val="en-US" w:eastAsia="zh-CN"/>
              </w:rPr>
            </w:pPr>
            <w:r>
              <w:rPr>
                <w:rFonts w:hint="eastAsia" w:ascii="宋体" w:hAnsi="宋体" w:eastAsia="宋体" w:cs="宋体"/>
                <w:color w:val="auto"/>
                <w:sz w:val="21"/>
                <w:szCs w:val="21"/>
                <w:highlight w:val="none"/>
                <w:shd w:val="clear" w:color="auto" w:fill="auto"/>
                <w:lang w:val="en-US" w:eastAsia="zh-CN"/>
              </w:rPr>
              <w:t>建设要求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9" w:hRule="atLeast"/>
        </w:trPr>
        <w:tc>
          <w:tcPr>
            <w:tcW w:w="546" w:type="dxa"/>
            <w:vMerge w:val="restart"/>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1</w:t>
            </w:r>
          </w:p>
        </w:tc>
        <w:tc>
          <w:tcPr>
            <w:tcW w:w="1449" w:type="dxa"/>
            <w:gridSpan w:val="2"/>
            <w:vMerge w:val="restart"/>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县域公共品牌升级强化建设</w:t>
            </w:r>
          </w:p>
        </w:tc>
        <w:tc>
          <w:tcPr>
            <w:tcW w:w="1617" w:type="dxa"/>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县域公共品牌打造</w:t>
            </w:r>
          </w:p>
        </w:tc>
        <w:tc>
          <w:tcPr>
            <w:tcW w:w="4913" w:type="dxa"/>
            <w:noWrap w:val="0"/>
            <w:vAlign w:val="center"/>
          </w:tcPr>
          <w:p>
            <w:pPr>
              <w:pStyle w:val="5"/>
              <w:ind w:left="0" w:leftChars="0" w:firstLine="0" w:firstLineChars="0"/>
              <w:jc w:val="left"/>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推进县域公共品牌线上多平台运营，与MCN机构合作利用头部及腰部网红为武陟农特产品直播带货不少于12场；推进天猫焦作原产地旗舰店升级在同类型店铺进入全国前30名；组织开展直播大赛活动不少于1场。制定线下产销对接活动方案，全国及省级招商推介活动3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trPr>
        <w:tc>
          <w:tcPr>
            <w:tcW w:w="546" w:type="dxa"/>
            <w:vMerge w:val="continue"/>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p>
        </w:tc>
        <w:tc>
          <w:tcPr>
            <w:tcW w:w="1449" w:type="dxa"/>
            <w:gridSpan w:val="2"/>
            <w:vMerge w:val="continue"/>
            <w:noWrap w:val="0"/>
            <w:vAlign w:val="center"/>
          </w:tcPr>
          <w:p>
            <w:pPr>
              <w:bidi w:val="0"/>
              <w:jc w:val="center"/>
              <w:rPr>
                <w:rFonts w:hint="eastAsia" w:ascii="宋体" w:hAnsi="宋体" w:eastAsia="宋体" w:cs="宋体"/>
                <w:color w:val="000000"/>
                <w:kern w:val="0"/>
                <w:sz w:val="21"/>
                <w:szCs w:val="21"/>
                <w:lang w:bidi="ar"/>
              </w:rPr>
            </w:pPr>
          </w:p>
        </w:tc>
        <w:tc>
          <w:tcPr>
            <w:tcW w:w="1617" w:type="dxa"/>
            <w:noWrap w:val="0"/>
            <w:vAlign w:val="center"/>
          </w:tcPr>
          <w:p>
            <w:pPr>
              <w:pStyle w:val="5"/>
              <w:ind w:left="0" w:leftChars="0" w:firstLine="0" w:firstLineChars="0"/>
              <w:jc w:val="center"/>
              <w:rPr>
                <w:rFonts w:hint="eastAsia" w:ascii="宋体" w:hAnsi="宋体" w:eastAsia="宋体" w:cs="宋体"/>
                <w:sz w:val="21"/>
                <w:szCs w:val="21"/>
                <w:lang w:val="en-US" w:eastAsia="zh-CN"/>
              </w:rPr>
            </w:pPr>
          </w:p>
          <w:p>
            <w:pPr>
              <w:bidi w:val="0"/>
              <w:jc w:val="center"/>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bidi="ar"/>
              </w:rPr>
              <w:t>公共品牌宣传</w:t>
            </w:r>
          </w:p>
        </w:tc>
        <w:tc>
          <w:tcPr>
            <w:tcW w:w="4913" w:type="dxa"/>
            <w:noWrap w:val="0"/>
            <w:vAlign w:val="center"/>
          </w:tcPr>
          <w:p>
            <w:pPr>
              <w:pStyle w:val="5"/>
              <w:tabs>
                <w:tab w:val="left" w:pos="1709"/>
              </w:tabs>
              <w:ind w:left="0" w:leftChars="0" w:firstLine="0" w:firstLineChars="0"/>
              <w:jc w:val="left"/>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设计策划公共品牌宣传语、品牌故事、宣传视频等软实力传播方案；设计制作统一的品牌包装箱、授权码（结合溯源码）、宣传单页等；设计制作旅游景区网红打卡地统一的品牌宣传形象墙等物料；举办电商活动，运用其他方式或媒体，多方式对本地公共品牌、农产品、政策进行宣传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vMerge w:val="restart"/>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2</w:t>
            </w:r>
          </w:p>
        </w:tc>
        <w:tc>
          <w:tcPr>
            <w:tcW w:w="1449" w:type="dxa"/>
            <w:gridSpan w:val="2"/>
            <w:vMerge w:val="restart"/>
            <w:noWrap w:val="0"/>
            <w:vAlign w:val="center"/>
          </w:tcPr>
          <w:p>
            <w:pPr>
              <w:pStyle w:val="5"/>
              <w:ind w:left="0" w:leftChars="0"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highlight w:val="none"/>
                <w:shd w:val="clear" w:color="auto" w:fill="auto"/>
                <w:lang w:val="en-US" w:eastAsia="zh-CN"/>
              </w:rPr>
              <w:t>农产品供应链体系建设</w:t>
            </w:r>
          </w:p>
        </w:tc>
        <w:tc>
          <w:tcPr>
            <w:tcW w:w="1617" w:type="dxa"/>
            <w:noWrap w:val="0"/>
            <w:vAlign w:val="center"/>
          </w:tcPr>
          <w:p>
            <w:pPr>
              <w:pStyle w:val="5"/>
              <w:ind w:left="0" w:leftChars="0"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highlight w:val="none"/>
                <w:shd w:val="clear" w:color="auto" w:fill="auto"/>
                <w:lang w:val="en-US" w:eastAsia="zh-CN"/>
              </w:rPr>
              <w:t>建设O2O线上线下一体</w:t>
            </w:r>
            <w:r>
              <w:rPr>
                <w:rFonts w:hint="eastAsia" w:ascii="宋体" w:hAnsi="宋体" w:eastAsia="宋体" w:cs="宋体"/>
                <w:color w:val="000000"/>
                <w:kern w:val="0"/>
                <w:sz w:val="21"/>
                <w:szCs w:val="21"/>
                <w:lang w:val="en-US" w:eastAsia="zh-CN" w:bidi="ar"/>
              </w:rPr>
              <w:t>化体验销售中心</w:t>
            </w:r>
          </w:p>
        </w:tc>
        <w:tc>
          <w:tcPr>
            <w:tcW w:w="4913" w:type="dxa"/>
            <w:noWrap w:val="0"/>
            <w:vAlign w:val="center"/>
          </w:tcPr>
          <w:p>
            <w:pPr>
              <w:pStyle w:val="5"/>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建设3个以上具有020展示展销和体验功能的网货旗舰店，为当地居地提供丰富多彩的购物方式和生活服务。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vMerge w:val="continue"/>
            <w:noWrap w:val="0"/>
            <w:vAlign w:val="center"/>
          </w:tcPr>
          <w:p>
            <w:pPr>
              <w:pStyle w:val="5"/>
              <w:ind w:left="0" w:leftChars="0" w:firstLine="0" w:firstLineChars="0"/>
              <w:jc w:val="center"/>
              <w:rPr>
                <w:rFonts w:hint="eastAsia" w:ascii="宋体" w:hAnsi="宋体" w:eastAsia="宋体" w:cs="宋体"/>
                <w:color w:val="auto"/>
                <w:sz w:val="21"/>
                <w:szCs w:val="21"/>
                <w:highlight w:val="none"/>
                <w:shd w:val="clear" w:color="auto" w:fill="auto"/>
                <w:lang w:val="en-US" w:eastAsia="zh-CN"/>
              </w:rPr>
            </w:pPr>
          </w:p>
        </w:tc>
        <w:tc>
          <w:tcPr>
            <w:tcW w:w="1449" w:type="dxa"/>
            <w:gridSpan w:val="2"/>
            <w:vMerge w:val="continue"/>
            <w:noWrap w:val="0"/>
            <w:vAlign w:val="center"/>
          </w:tcPr>
          <w:p>
            <w:pPr>
              <w:pStyle w:val="5"/>
              <w:ind w:left="0" w:leftChars="0" w:firstLine="0" w:firstLineChars="0"/>
              <w:jc w:val="center"/>
              <w:rPr>
                <w:rFonts w:hint="eastAsia" w:ascii="宋体" w:hAnsi="宋体" w:eastAsia="宋体" w:cs="宋体"/>
                <w:color w:val="000000"/>
                <w:kern w:val="0"/>
                <w:sz w:val="21"/>
                <w:szCs w:val="21"/>
                <w:lang w:val="en-US" w:eastAsia="zh-CN" w:bidi="ar"/>
              </w:rPr>
            </w:pPr>
          </w:p>
        </w:tc>
        <w:tc>
          <w:tcPr>
            <w:tcW w:w="1617" w:type="dxa"/>
            <w:noWrap w:val="0"/>
            <w:vAlign w:val="center"/>
          </w:tcPr>
          <w:p>
            <w:pPr>
              <w:pStyle w:val="5"/>
              <w:ind w:left="0" w:leftChars="0"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特色农特产品供应链融合建设方案</w:t>
            </w:r>
          </w:p>
        </w:tc>
        <w:tc>
          <w:tcPr>
            <w:tcW w:w="4913" w:type="dxa"/>
            <w:noWrap w:val="0"/>
            <w:vAlign w:val="center"/>
          </w:tcPr>
          <w:p>
            <w:pPr>
              <w:pStyle w:val="5"/>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推进种植户、农业合作社、农产品及食品加工企业纵向一体化融合，打造地域特色产品产业链，为进军全国市场打好产业基础。</w:t>
            </w:r>
          </w:p>
        </w:tc>
      </w:tr>
    </w:tbl>
    <w:p>
      <w:pPr>
        <w:pStyle w:val="5"/>
        <w:ind w:left="0" w:leftChars="0" w:firstLine="0" w:firstLineChars="0"/>
        <w:rPr>
          <w:rFonts w:hint="eastAsia" w:ascii="宋体" w:hAnsi="宋体"/>
          <w:bCs/>
          <w:color w:val="0000FF"/>
          <w:kern w:val="0"/>
          <w:szCs w:val="21"/>
        </w:rPr>
      </w:pPr>
    </w:p>
    <w:p>
      <w:pPr>
        <w:widowControl/>
        <w:numPr>
          <w:ilvl w:val="0"/>
          <w:numId w:val="0"/>
        </w:numPr>
        <w:adjustRightInd w:val="0"/>
        <w:snapToGrid w:val="0"/>
        <w:spacing w:line="400" w:lineRule="exact"/>
        <w:ind w:leftChars="0"/>
        <w:rPr>
          <w:rFonts w:hint="eastAsia" w:ascii="宋体" w:hAnsi="宋体"/>
          <w:b/>
          <w:color w:val="000000"/>
          <w:kern w:val="0"/>
          <w:sz w:val="28"/>
          <w:szCs w:val="28"/>
        </w:rPr>
      </w:pPr>
      <w:r>
        <w:rPr>
          <w:rFonts w:hint="eastAsia" w:ascii="宋体" w:hAnsi="宋体"/>
          <w:b/>
          <w:color w:val="000000"/>
          <w:kern w:val="0"/>
          <w:sz w:val="28"/>
          <w:szCs w:val="28"/>
          <w:lang w:eastAsia="zh-CN"/>
        </w:rPr>
        <w:t>四、</w:t>
      </w:r>
      <w:r>
        <w:rPr>
          <w:rFonts w:hint="eastAsia" w:ascii="宋体" w:hAnsi="宋体"/>
          <w:b/>
          <w:color w:val="000000"/>
          <w:kern w:val="0"/>
          <w:sz w:val="28"/>
          <w:szCs w:val="28"/>
        </w:rPr>
        <w:t>需要落实的政府采购政策</w:t>
      </w:r>
    </w:p>
    <w:p>
      <w:pPr>
        <w:numPr>
          <w:ilvl w:val="1"/>
          <w:numId w:val="2"/>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0"/>
          <w:numId w:val="0"/>
        </w:numPr>
        <w:spacing w:line="440" w:lineRule="exact"/>
        <w:ind w:leftChars="200"/>
        <w:jc w:val="left"/>
        <w:rPr>
          <w:rFonts w:hint="eastAsia" w:ascii="宋体" w:hAnsi="宋体" w:eastAsia="宋体" w:cs="宋体"/>
          <w:bCs/>
          <w:color w:val="000000"/>
          <w:sz w:val="22"/>
          <w:szCs w:val="20"/>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rPr>
        <w:t>促进中小企业发展扶持政策</w:t>
      </w:r>
      <w:r>
        <w:rPr>
          <w:rFonts w:hint="eastAsia" w:ascii="宋体" w:hAnsi="宋体" w:eastAsia="宋体" w:cs="宋体"/>
          <w:bCs/>
          <w:color w:val="000000"/>
          <w:sz w:val="22"/>
          <w:szCs w:val="20"/>
        </w:rPr>
        <w:t>：</w:t>
      </w:r>
    </w:p>
    <w:p>
      <w:pPr>
        <w:numPr>
          <w:ilvl w:val="0"/>
          <w:numId w:val="3"/>
        </w:numPr>
        <w:spacing w:line="440" w:lineRule="exact"/>
        <w:ind w:firstLine="424" w:firstLineChars="202"/>
        <w:rPr>
          <w:rFonts w:hint="eastAsia" w:ascii="宋体" w:hAnsi="宋体" w:eastAsia="宋体" w:cs="宋体"/>
          <w:bCs/>
          <w:color w:val="000000"/>
          <w:sz w:val="21"/>
          <w:szCs w:val="18"/>
        </w:rPr>
      </w:pPr>
      <w:r>
        <w:rPr>
          <w:rFonts w:hint="eastAsia" w:ascii="宋体" w:hAnsi="宋体" w:eastAsia="宋体" w:cs="宋体"/>
          <w:bCs/>
          <w:color w:val="000000"/>
          <w:sz w:val="21"/>
          <w:szCs w:val="18"/>
        </w:rPr>
        <w:t>中小企业</w:t>
      </w:r>
      <w:r>
        <w:rPr>
          <w:rFonts w:hint="eastAsia" w:ascii="宋体" w:hAnsi="宋体" w:eastAsia="宋体" w:cs="宋体"/>
          <w:bCs/>
          <w:color w:val="000000"/>
          <w:sz w:val="21"/>
          <w:szCs w:val="18"/>
          <w:lang w:eastAsia="zh-CN"/>
        </w:rPr>
        <w:t>认定</w:t>
      </w:r>
      <w:r>
        <w:rPr>
          <w:rFonts w:hint="eastAsia" w:ascii="宋体" w:hAnsi="宋体" w:eastAsia="宋体" w:cs="宋体"/>
          <w:bCs/>
          <w:color w:val="000000"/>
          <w:sz w:val="21"/>
          <w:szCs w:val="18"/>
        </w:rPr>
        <w:t>：</w:t>
      </w:r>
    </w:p>
    <w:p>
      <w:pPr>
        <w:numPr>
          <w:ilvl w:val="0"/>
          <w:numId w:val="0"/>
        </w:numPr>
        <w:spacing w:line="440" w:lineRule="exact"/>
        <w:ind w:firstLine="420" w:firstLineChars="200"/>
        <w:rPr>
          <w:rFonts w:hint="eastAsia" w:ascii="宋体" w:hAnsi="宋体" w:eastAsia="宋体" w:cs="宋体"/>
          <w:bCs/>
          <w:color w:val="000000"/>
          <w:sz w:val="21"/>
          <w:szCs w:val="18"/>
          <w:lang w:val="en-US" w:eastAsia="zh-CN"/>
        </w:rPr>
      </w:pPr>
      <w:r>
        <w:rPr>
          <w:rFonts w:hint="eastAsia" w:ascii="宋体" w:hAnsi="宋体" w:eastAsia="宋体" w:cs="宋体"/>
          <w:bCs/>
          <w:color w:val="000000"/>
          <w:sz w:val="21"/>
          <w:szCs w:val="18"/>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0"/>
        </w:numPr>
        <w:spacing w:line="440" w:lineRule="exact"/>
        <w:ind w:firstLine="420" w:firstLineChars="200"/>
        <w:rPr>
          <w:rFonts w:hint="eastAsia" w:ascii="宋体" w:hAnsi="宋体" w:eastAsia="宋体" w:cs="宋体"/>
          <w:bCs/>
          <w:color w:val="000000"/>
          <w:sz w:val="21"/>
          <w:szCs w:val="18"/>
          <w:lang w:val="en-US" w:eastAsia="zh-CN"/>
        </w:rPr>
      </w:pPr>
      <w:r>
        <w:rPr>
          <w:rFonts w:hint="eastAsia" w:ascii="宋体" w:hAnsi="宋体" w:eastAsia="宋体" w:cs="宋体"/>
          <w:bCs/>
          <w:color w:val="000000"/>
          <w:sz w:val="21"/>
          <w:szCs w:val="18"/>
          <w:lang w:val="en-US" w:eastAsia="zh-CN"/>
        </w:rPr>
        <w:t>符合中小企业划分标准的个体工商户，在政府采购活动中视同中小企业。</w:t>
      </w:r>
    </w:p>
    <w:p>
      <w:pPr>
        <w:spacing w:line="440" w:lineRule="exact"/>
        <w:ind w:firstLine="424" w:firstLineChars="202"/>
        <w:rPr>
          <w:rFonts w:hint="eastAsia" w:ascii="宋体" w:hAnsi="宋体" w:eastAsia="宋体" w:cs="宋体"/>
          <w:bCs/>
          <w:color w:val="000000"/>
          <w:sz w:val="21"/>
          <w:szCs w:val="18"/>
        </w:rPr>
      </w:pPr>
      <w:r>
        <w:rPr>
          <w:rFonts w:hint="eastAsia" w:ascii="宋体" w:hAnsi="宋体" w:eastAsia="宋体" w:cs="宋体"/>
          <w:bCs/>
          <w:color w:val="000000"/>
          <w:sz w:val="21"/>
          <w:szCs w:val="18"/>
          <w:lang w:val="en-US" w:eastAsia="zh-CN"/>
        </w:rPr>
        <w:t>2.</w:t>
      </w:r>
      <w:r>
        <w:rPr>
          <w:rFonts w:hint="eastAsia" w:ascii="宋体" w:hAnsi="宋体" w:eastAsia="宋体" w:cs="宋体"/>
          <w:bCs/>
          <w:color w:val="000000"/>
          <w:sz w:val="21"/>
          <w:szCs w:val="18"/>
        </w:rPr>
        <w:t>在服务采购项目中，服务由中小企业承接，即提供服务的人员为中小企业依照《中华人民共和国劳动合同法</w:t>
      </w:r>
      <w:r>
        <w:rPr>
          <w:rFonts w:hint="eastAsia" w:ascii="宋体" w:hAnsi="宋体" w:eastAsia="宋体" w:cs="宋体"/>
          <w:bCs/>
          <w:color w:val="000000"/>
          <w:sz w:val="21"/>
          <w:szCs w:val="18"/>
          <w:lang w:eastAsia="zh-CN"/>
        </w:rPr>
        <w:t>》</w:t>
      </w:r>
      <w:r>
        <w:rPr>
          <w:rFonts w:hint="eastAsia" w:ascii="宋体" w:hAnsi="宋体" w:eastAsia="宋体" w:cs="宋体"/>
          <w:bCs/>
          <w:color w:val="000000"/>
          <w:sz w:val="21"/>
          <w:szCs w:val="18"/>
        </w:rPr>
        <w:t>订立劳动合同的从业人员。</w:t>
      </w:r>
    </w:p>
    <w:p>
      <w:pPr>
        <w:spacing w:line="440" w:lineRule="exact"/>
        <w:ind w:firstLine="424" w:firstLineChars="202"/>
        <w:rPr>
          <w:rFonts w:hint="eastAsia" w:ascii="宋体" w:hAnsi="宋体" w:eastAsia="宋体" w:cs="宋体"/>
          <w:bCs/>
          <w:color w:val="000000"/>
          <w:sz w:val="24"/>
          <w:szCs w:val="21"/>
        </w:rPr>
      </w:pPr>
      <w:r>
        <w:rPr>
          <w:rFonts w:hint="eastAsia" w:ascii="宋体" w:hAnsi="宋体" w:eastAsia="宋体" w:cs="仿宋_GB2312"/>
          <w:bCs/>
          <w:color w:val="000000"/>
          <w:sz w:val="21"/>
          <w:szCs w:val="21"/>
          <w:lang w:eastAsia="zh-CN"/>
        </w:rPr>
        <w:t>投标人当按照招标文件规定出具《</w:t>
      </w:r>
      <w:r>
        <w:rPr>
          <w:rFonts w:hint="eastAsia" w:ascii="宋体" w:hAnsi="宋体" w:eastAsia="宋体" w:cs="仿宋_GB2312"/>
          <w:bCs/>
          <w:color w:val="000000"/>
          <w:sz w:val="21"/>
          <w:szCs w:val="21"/>
        </w:rPr>
        <w:t>中小企业声明函</w:t>
      </w:r>
      <w:r>
        <w:rPr>
          <w:rFonts w:hint="eastAsia" w:ascii="宋体" w:hAnsi="宋体" w:eastAsia="宋体" w:cs="仿宋_GB2312"/>
          <w:bCs/>
          <w:color w:val="000000"/>
          <w:sz w:val="21"/>
          <w:szCs w:val="21"/>
          <w:lang w:eastAsia="zh-CN"/>
        </w:rPr>
        <w:t>》，否则不享受相关扶持政策</w:t>
      </w:r>
      <w:r>
        <w:rPr>
          <w:rFonts w:hint="eastAsia" w:ascii="宋体" w:hAnsi="宋体" w:eastAsia="宋体" w:cs="宋体"/>
          <w:bCs/>
          <w:color w:val="000000"/>
          <w:sz w:val="24"/>
          <w:szCs w:val="21"/>
        </w:rPr>
        <w:t>；</w:t>
      </w:r>
    </w:p>
    <w:p>
      <w:pPr>
        <w:numPr>
          <w:ilvl w:val="0"/>
          <w:numId w:val="0"/>
        </w:numPr>
        <w:spacing w:line="440" w:lineRule="exact"/>
        <w:ind w:firstLine="420" w:firstLineChars="200"/>
        <w:jc w:val="left"/>
        <w:rPr>
          <w:rFonts w:hint="eastAsia" w:ascii="宋体" w:hAnsi="宋体" w:cs="宋体"/>
          <w:bCs/>
          <w:szCs w:val="21"/>
        </w:rPr>
      </w:pPr>
      <w:r>
        <w:rPr>
          <w:rFonts w:hint="eastAsia" w:ascii="宋体" w:hAnsi="宋体" w:cs="宋体"/>
          <w:bCs/>
          <w:szCs w:val="21"/>
          <w:lang w:val="en-US" w:eastAsia="zh-CN"/>
        </w:rPr>
        <w:t>2.</w:t>
      </w: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0"/>
          <w:numId w:val="0"/>
        </w:numPr>
        <w:spacing w:line="440" w:lineRule="exact"/>
        <w:ind w:firstLine="420" w:firstLineChars="200"/>
        <w:rPr>
          <w:rFonts w:hint="eastAsia" w:ascii="宋体" w:hAnsi="宋体" w:cs="宋体"/>
          <w:bCs/>
          <w:szCs w:val="21"/>
        </w:rPr>
      </w:pPr>
      <w:r>
        <w:rPr>
          <w:rFonts w:hint="eastAsia" w:ascii="宋体" w:hAnsi="宋体" w:cs="宋体"/>
          <w:bCs/>
          <w:szCs w:val="21"/>
          <w:lang w:val="en-US" w:eastAsia="zh-CN"/>
        </w:rPr>
        <w:t>3.</w:t>
      </w: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
          <w:bCs/>
          <w:color w:val="FF0000"/>
          <w:szCs w:val="21"/>
        </w:rPr>
      </w:pPr>
      <w:r>
        <w:rPr>
          <w:rFonts w:hint="eastAsia" w:ascii="宋体" w:hAnsi="宋体" w:cs="宋体"/>
          <w:b/>
          <w:bCs/>
          <w:color w:val="FF0000"/>
          <w:szCs w:val="21"/>
        </w:rPr>
        <w:t>投标人同时为小型、微型企业、监狱企业、残疾人福利性单位任两种或以上情况的，评审中</w:t>
      </w:r>
    </w:p>
    <w:p>
      <w:pPr>
        <w:numPr>
          <w:ilvl w:val="0"/>
          <w:numId w:val="0"/>
        </w:numPr>
        <w:spacing w:line="440" w:lineRule="exact"/>
        <w:rPr>
          <w:rFonts w:hint="eastAsia" w:ascii="宋体" w:hAnsi="宋体" w:cs="宋体"/>
          <w:b/>
          <w:bCs/>
          <w:color w:val="FF0000"/>
          <w:szCs w:val="21"/>
        </w:rPr>
      </w:pPr>
      <w:r>
        <w:rPr>
          <w:rFonts w:hint="eastAsia" w:ascii="宋体" w:hAnsi="宋体" w:cs="宋体"/>
          <w:b/>
          <w:bCs/>
          <w:color w:val="FF0000"/>
          <w:szCs w:val="21"/>
        </w:rPr>
        <w:t>只享受一次价格扣除，不重复进行价格扣除。</w:t>
      </w:r>
    </w:p>
    <w:p>
      <w:pPr>
        <w:pStyle w:val="2"/>
        <w:ind w:firstLine="422" w:firstLineChars="200"/>
        <w:rPr>
          <w:rFonts w:hint="eastAsia"/>
          <w:sz w:val="21"/>
          <w:szCs w:val="21"/>
        </w:rPr>
      </w:pPr>
      <w:r>
        <w:rPr>
          <w:rFonts w:hint="eastAsia" w:ascii="宋体" w:hAnsi="宋体" w:cs="宋体"/>
          <w:b/>
          <w:bCs/>
          <w:color w:val="FF0000"/>
          <w:sz w:val="21"/>
          <w:szCs w:val="18"/>
          <w:lang w:eastAsia="zh-CN"/>
        </w:rPr>
        <w:t>评标委员会根据供应商提供的</w:t>
      </w:r>
      <w:r>
        <w:rPr>
          <w:rFonts w:hint="eastAsia" w:ascii="宋体" w:hAnsi="宋体" w:cs="仿宋_GB2312"/>
          <w:b/>
          <w:bCs/>
          <w:color w:val="FF0000"/>
          <w:sz w:val="18"/>
          <w:szCs w:val="18"/>
          <w:lang w:eastAsia="zh-CN"/>
        </w:rPr>
        <w:t>《</w:t>
      </w:r>
      <w:r>
        <w:rPr>
          <w:rFonts w:hint="eastAsia" w:ascii="宋体" w:hAnsi="宋体" w:cs="仿宋_GB2312"/>
          <w:b/>
          <w:bCs/>
          <w:color w:val="FF0000"/>
          <w:sz w:val="18"/>
          <w:szCs w:val="18"/>
        </w:rPr>
        <w:t>中小企业声明函</w:t>
      </w:r>
      <w:r>
        <w:rPr>
          <w:rFonts w:hint="eastAsia" w:ascii="宋体" w:hAnsi="宋体" w:cs="仿宋_GB2312"/>
          <w:b/>
          <w:bCs/>
          <w:color w:val="FF0000"/>
          <w:sz w:val="18"/>
          <w:szCs w:val="18"/>
          <w:lang w:eastAsia="zh-CN"/>
        </w:rPr>
        <w:t>》认定该供应商是否属于</w:t>
      </w:r>
      <w:r>
        <w:rPr>
          <w:rFonts w:hint="eastAsia" w:ascii="宋体" w:hAnsi="宋体" w:cs="宋体"/>
          <w:b/>
          <w:bCs/>
          <w:color w:val="FF0000"/>
          <w:sz w:val="21"/>
          <w:szCs w:val="18"/>
        </w:rPr>
        <w:t>小型或微型企业</w:t>
      </w:r>
      <w:r>
        <w:rPr>
          <w:rFonts w:hint="eastAsia" w:ascii="宋体" w:hAnsi="宋体" w:cs="宋体"/>
          <w:b/>
          <w:bCs/>
          <w:color w:val="FF0000"/>
          <w:sz w:val="21"/>
          <w:szCs w:val="18"/>
          <w:lang w:eastAsia="zh-CN"/>
        </w:rPr>
        <w:t>，被认定为</w:t>
      </w:r>
      <w:r>
        <w:rPr>
          <w:rFonts w:hint="eastAsia" w:ascii="宋体" w:hAnsi="宋体" w:cs="宋体"/>
          <w:b/>
          <w:bCs/>
          <w:color w:val="FF0000"/>
          <w:sz w:val="21"/>
          <w:szCs w:val="18"/>
        </w:rPr>
        <w:t>小型或微型企业</w:t>
      </w:r>
      <w:r>
        <w:rPr>
          <w:rFonts w:hint="eastAsia" w:ascii="宋体" w:hAnsi="宋体" w:cs="宋体"/>
          <w:b/>
          <w:bCs/>
          <w:color w:val="FF0000"/>
          <w:sz w:val="21"/>
          <w:szCs w:val="18"/>
          <w:lang w:eastAsia="zh-CN"/>
        </w:rPr>
        <w:t>的方可</w:t>
      </w:r>
      <w:r>
        <w:rPr>
          <w:rFonts w:hint="eastAsia" w:ascii="宋体" w:hAnsi="宋体" w:cs="宋体"/>
          <w:b/>
          <w:bCs/>
          <w:color w:val="FF0000"/>
          <w:sz w:val="21"/>
          <w:szCs w:val="18"/>
        </w:rPr>
        <w:t>享受价格优惠。</w:t>
      </w:r>
    </w:p>
    <w:p>
      <w:pPr>
        <w:numPr>
          <w:ilvl w:val="1"/>
          <w:numId w:val="2"/>
        </w:numPr>
        <w:spacing w:line="400" w:lineRule="exac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40" w:lineRule="exact"/>
        <w:ind w:firstLine="424" w:firstLineChars="202"/>
        <w:rPr>
          <w:rFonts w:hint="eastAsia" w:ascii="宋体" w:hAnsi="宋体" w:cs="宋体"/>
          <w:bCs/>
          <w:color w:val="000000"/>
          <w:szCs w:val="21"/>
        </w:rPr>
      </w:pPr>
      <w:r>
        <w:rPr>
          <w:rFonts w:hint="eastAsia" w:ascii="宋体" w:hAnsi="宋体" w:cs="宋体"/>
          <w:bCs/>
          <w:color w:val="000000"/>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cs="宋体"/>
          <w:b/>
          <w:bCs/>
          <w:color w:val="1D41D5"/>
          <w:szCs w:val="21"/>
        </w:rPr>
        <w:t>（</w:t>
      </w:r>
      <w:r>
        <w:rPr>
          <w:rFonts w:hint="eastAsia" w:ascii="宋体" w:hAnsi="宋体"/>
          <w:b/>
          <w:bCs/>
          <w:color w:val="1D41D5"/>
          <w:kern w:val="0"/>
          <w:szCs w:val="21"/>
        </w:rPr>
        <w:t>投标文件商务、技术证明文件正本中提供复印件加盖投标人公章，副本中可为正本的复印件</w:t>
      </w:r>
      <w:r>
        <w:rPr>
          <w:rFonts w:hint="eastAsia" w:ascii="宋体" w:hAnsi="宋体" w:cs="宋体"/>
          <w:color w:val="1D41D5"/>
          <w:sz w:val="24"/>
        </w:rPr>
        <w:t>）</w:t>
      </w:r>
      <w:r>
        <w:rPr>
          <w:rFonts w:hint="eastAsia" w:ascii="宋体" w:hAnsi="宋体" w:cs="宋体"/>
          <w:b/>
          <w:bCs/>
          <w:color w:val="1D41D5"/>
          <w:szCs w:val="21"/>
        </w:rPr>
        <w:t>）</w:t>
      </w:r>
      <w:r>
        <w:rPr>
          <w:rFonts w:hint="eastAsia" w:ascii="宋体" w:hAnsi="宋体" w:cs="宋体"/>
          <w:bCs/>
          <w:color w:val="000000"/>
          <w:szCs w:val="21"/>
        </w:rPr>
        <w:t>，否则不予认定。</w:t>
      </w:r>
    </w:p>
    <w:p>
      <w:pPr>
        <w:numPr>
          <w:ilvl w:val="1"/>
          <w:numId w:val="2"/>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00" w:lineRule="exact"/>
        <w:ind w:firstLine="420" w:firstLineChars="200"/>
        <w:rPr>
          <w:rFonts w:hint="eastAsia" w:ascii="宋体"/>
          <w:color w:val="000000"/>
          <w:sz w:val="24"/>
        </w:rPr>
      </w:pPr>
      <w:r>
        <w:rPr>
          <w:rFonts w:hint="eastAsia" w:ascii="宋体" w:hAnsi="宋体" w:cs="宋体"/>
          <w:bCs/>
          <w:color w:val="000000"/>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val="0"/>
          <w:bCs w:val="0"/>
          <w:color w:val="000000"/>
          <w:kern w:val="0"/>
          <w:szCs w:val="21"/>
        </w:rPr>
        <w:t>（投标文件商务、技术证明文件正本中提供复印件加盖投标人公章，副本中可为正本的复印件）</w:t>
      </w:r>
      <w:r>
        <w:rPr>
          <w:rFonts w:hint="eastAsia" w:ascii="宋体"/>
          <w:color w:val="000000"/>
          <w:sz w:val="24"/>
        </w:rPr>
        <w:t>。</w:t>
      </w:r>
      <w:bookmarkStart w:id="1" w:name="_GoBack"/>
      <w:bookmarkEnd w:id="1"/>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ook Antiqua">
    <w:altName w:val="Palatino Linotype"/>
    <w:panose1 w:val="02040602050305030304"/>
    <w:charset w:val="00"/>
    <w:family w:val="roman"/>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13"/>
    <w:multiLevelType w:val="multilevel"/>
    <w:tmpl w:val="00000013"/>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D"/>
    <w:multiLevelType w:val="multilevel"/>
    <w:tmpl w:val="0000002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87334"/>
    <w:rsid w:val="49B87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无间隔1"/>
    <w:basedOn w:val="1"/>
    <w:uiPriority w:val="0"/>
    <w:pPr>
      <w:spacing w:line="400" w:lineRule="exact"/>
    </w:pPr>
    <w:rPr>
      <w:rFonts w:eastAsia="宋体"/>
      <w:sz w:val="24"/>
    </w:rPr>
  </w:style>
  <w:style w:type="paragraph" w:styleId="3">
    <w:name w:val="Body Text"/>
    <w:basedOn w:val="1"/>
    <w:uiPriority w:val="0"/>
    <w:rPr>
      <w:rFonts w:ascii="Times New Roman" w:hAnsi="Times New Roman" w:eastAsia="楷体_GB2312" w:cs="Times New Roman"/>
      <w:sz w:val="28"/>
      <w:szCs w:val="24"/>
    </w:rPr>
  </w:style>
  <w:style w:type="paragraph" w:styleId="4">
    <w:name w:val="Title"/>
    <w:basedOn w:val="1"/>
    <w:uiPriority w:val="0"/>
    <w:pPr>
      <w:spacing w:before="240" w:beforeLines="0" w:after="60" w:afterLines="0"/>
      <w:jc w:val="center"/>
      <w:outlineLvl w:val="0"/>
    </w:pPr>
    <w:rPr>
      <w:rFonts w:ascii="Arial" w:hAnsi="Arial" w:eastAsia="宋体" w:cs="Arial"/>
      <w:b/>
      <w:bCs/>
      <w:sz w:val="32"/>
      <w:szCs w:val="32"/>
    </w:rPr>
  </w:style>
  <w:style w:type="paragraph" w:styleId="5">
    <w:name w:val="Body Text First Indent"/>
    <w:basedOn w:val="3"/>
    <w:next w:val="1"/>
    <w:unhideWhenUsed/>
    <w:qFormat/>
    <w:uiPriority w:val="99"/>
    <w:pPr>
      <w:ind w:firstLine="420" w:firstLineChars="100"/>
    </w:p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2021-02-20T01:45:00Z</dcterms:created>
  <dc:creator>平行线</dc:creator>
  <cp:lastModifiedBy>平行线</cp:lastModifiedBy>
  <dcterms:modified xsi:type="dcterms:W3CDTF">2021-02-20T01:46:41Z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