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numPr>
          <w:numId w:val="0"/>
        </w:numPr>
        <w:spacing w:line="480" w:lineRule="exact"/>
        <w:ind w:leftChars="0" w:right="-72" w:rightChars="-30"/>
        <w:jc w:val="center"/>
        <w:rPr>
          <w:rFonts w:hint="eastAsia" w:ascii="宋体" w:hAnsi="宋体" w:cs="宋体"/>
          <w:bCs w:val="0"/>
        </w:rPr>
      </w:pPr>
      <w:bookmarkStart w:id="0" w:name="_Toc21781"/>
      <w:r>
        <w:rPr>
          <w:rFonts w:hint="eastAsia" w:ascii="宋体" w:hAnsi="宋体" w:cs="宋体"/>
          <w:bCs w:val="0"/>
        </w:rPr>
        <w:t>采购需求</w:t>
      </w:r>
      <w:bookmarkEnd w:id="0"/>
    </w:p>
    <w:p>
      <w:pPr>
        <w:widowControl/>
        <w:adjustRightInd w:val="0"/>
        <w:snapToGrid w:val="0"/>
        <w:spacing w:line="400" w:lineRule="exact"/>
        <w:ind w:left="480" w:leftChars="200"/>
        <w:jc w:val="left"/>
        <w:rPr>
          <w:rFonts w:hint="eastAsia" w:ascii="宋体" w:hAnsi="宋体"/>
          <w:color w:val="000000"/>
          <w:kern w:val="0"/>
          <w:szCs w:val="21"/>
        </w:rPr>
      </w:pPr>
    </w:p>
    <w:p>
      <w:pPr>
        <w:widowControl/>
        <w:numPr>
          <w:ilvl w:val="3"/>
          <w:numId w:val="1"/>
        </w:numPr>
        <w:adjustRightInd w:val="0"/>
        <w:snapToGrid w:val="0"/>
        <w:spacing w:line="360" w:lineRule="auto"/>
        <w:rPr>
          <w:rFonts w:hint="eastAsia" w:ascii="宋体" w:hAnsi="宋体"/>
          <w:b/>
          <w:color w:val="000000"/>
          <w:kern w:val="0"/>
          <w:sz w:val="32"/>
          <w:szCs w:val="32"/>
        </w:rPr>
      </w:pPr>
      <w:r>
        <w:rPr>
          <w:rFonts w:hint="eastAsia" w:ascii="宋体" w:hAnsi="宋体"/>
          <w:b/>
          <w:color w:val="000000"/>
          <w:kern w:val="0"/>
          <w:sz w:val="32"/>
          <w:szCs w:val="32"/>
        </w:rPr>
        <w:t>商务要求：</w:t>
      </w:r>
      <w:bookmarkStart w:id="1" w:name="_GoBack"/>
      <w:bookmarkEnd w:id="1"/>
    </w:p>
    <w:p>
      <w:pPr>
        <w:numPr>
          <w:ilvl w:val="0"/>
          <w:numId w:val="2"/>
        </w:numPr>
        <w:spacing w:line="440" w:lineRule="exact"/>
        <w:ind w:left="480" w:leftChars="200"/>
        <w:jc w:val="left"/>
        <w:rPr>
          <w:rFonts w:hint="eastAsia" w:ascii="宋体" w:hAnsi="宋体"/>
          <w:lang w:val="en-US" w:eastAsia="zh-CN"/>
        </w:rPr>
      </w:pPr>
      <w:r>
        <w:rPr>
          <w:rFonts w:hint="eastAsia" w:ascii="宋体" w:hAnsi="宋体"/>
        </w:rPr>
        <w:t>合同履行期限：</w:t>
      </w:r>
      <w:r>
        <w:rPr>
          <w:rFonts w:hint="eastAsia" w:ascii="宋体" w:hAnsi="宋体"/>
          <w:lang w:eastAsia="zh-CN"/>
        </w:rPr>
        <w:t>合作期限为</w:t>
      </w:r>
      <w:r>
        <w:rPr>
          <w:rFonts w:hint="eastAsia" w:ascii="宋体" w:hAnsi="宋体"/>
          <w:lang w:val="en-US" w:eastAsia="zh-CN"/>
        </w:rPr>
        <w:t>2年，合同一年一签。</w:t>
      </w:r>
    </w:p>
    <w:p>
      <w:pPr>
        <w:numPr>
          <w:ilvl w:val="0"/>
          <w:numId w:val="2"/>
        </w:numPr>
        <w:spacing w:line="440" w:lineRule="exact"/>
        <w:ind w:left="480" w:leftChars="200"/>
        <w:jc w:val="left"/>
        <w:rPr>
          <w:rFonts w:hint="eastAsia" w:ascii="宋体" w:hAnsi="宋体"/>
          <w:b/>
          <w:bCs/>
          <w:szCs w:val="21"/>
        </w:rPr>
      </w:pPr>
      <w:r>
        <w:rPr>
          <w:rFonts w:hint="eastAsia" w:ascii="宋体" w:hAnsi="宋体"/>
          <w:szCs w:val="21"/>
        </w:rPr>
        <w:t>付款方式：每年度分二期将费用划转至服务机构账户，第一期缴费日期在合同签订时缴纳总费用的10%，第二期缴费日期为次年3月份之前，缴纳剩余保险费。</w:t>
      </w:r>
    </w:p>
    <w:p>
      <w:pPr>
        <w:numPr>
          <w:ilvl w:val="0"/>
          <w:numId w:val="2"/>
        </w:numPr>
        <w:spacing w:line="440" w:lineRule="exact"/>
        <w:ind w:left="480" w:leftChars="200"/>
        <w:jc w:val="left"/>
        <w:rPr>
          <w:rFonts w:hint="eastAsia" w:ascii="宋体" w:hAnsi="宋体"/>
          <w:b/>
          <w:bCs/>
          <w:szCs w:val="21"/>
        </w:rPr>
      </w:pPr>
      <w:r>
        <w:rPr>
          <w:rFonts w:hint="eastAsia" w:ascii="宋体" w:hAnsi="宋体"/>
          <w:szCs w:val="21"/>
        </w:rPr>
        <w:t>服务标准：响应招标文件第四章第二节“服务内容”的全部条款</w:t>
      </w:r>
    </w:p>
    <w:p>
      <w:pPr>
        <w:widowControl/>
        <w:numPr>
          <w:ilvl w:val="3"/>
          <w:numId w:val="1"/>
        </w:numPr>
        <w:adjustRightInd w:val="0"/>
        <w:snapToGrid w:val="0"/>
        <w:spacing w:line="360" w:lineRule="auto"/>
        <w:rPr>
          <w:rFonts w:hint="eastAsia" w:ascii="宋体" w:hAnsi="宋体"/>
          <w:b/>
          <w:color w:val="000000"/>
          <w:kern w:val="0"/>
          <w:sz w:val="32"/>
          <w:szCs w:val="32"/>
        </w:rPr>
      </w:pPr>
      <w:r>
        <w:rPr>
          <w:rFonts w:hint="eastAsia" w:ascii="宋体" w:hAnsi="宋体"/>
          <w:b/>
          <w:color w:val="000000"/>
          <w:kern w:val="0"/>
          <w:sz w:val="32"/>
          <w:szCs w:val="32"/>
        </w:rPr>
        <w:t>服务内容</w:t>
      </w:r>
    </w:p>
    <w:p>
      <w:pPr>
        <w:pStyle w:val="2"/>
        <w:spacing w:line="360" w:lineRule="auto"/>
        <w:rPr>
          <w:rFonts w:hint="eastAsia" w:ascii="Times New Roman" w:hAnsi="Times New Roman" w:cs="Times New Roman"/>
        </w:rPr>
      </w:pPr>
      <w:r>
        <w:rPr>
          <w:rFonts w:hint="eastAsia" w:ascii="Times New Roman" w:hAnsi="Times New Roman" w:cs="Times New Roman"/>
        </w:rPr>
        <w:t>1.就医结算。享受医疗补助待遇的人员在医疗机构发生的住院及重症慢性病、门诊重特大疾病等医疗费用，直接在医院进行‘一站式’结算。第三方服务机构要加强与医疗补助经办服务的衔接，实现全县统一的‘一站式’即时结算，确保方便、及时享受医疗补助待遇。</w:t>
      </w:r>
    </w:p>
    <w:p>
      <w:pPr>
        <w:pStyle w:val="2"/>
        <w:spacing w:line="360" w:lineRule="auto"/>
        <w:rPr>
          <w:rFonts w:hint="eastAsia" w:ascii="Times New Roman" w:hAnsi="Times New Roman" w:cs="Times New Roman"/>
        </w:rPr>
      </w:pPr>
      <w:r>
        <w:rPr>
          <w:rFonts w:hint="eastAsia" w:ascii="Times New Roman" w:hAnsi="Times New Roman" w:cs="Times New Roman"/>
        </w:rPr>
        <w:t>2.理赔时限。理赔手续齐全，无特殊情况的案卷，理赔时限原则上应与基本医疗保险同步结算到账。</w:t>
      </w:r>
    </w:p>
    <w:p>
      <w:pPr>
        <w:pStyle w:val="2"/>
        <w:spacing w:line="360" w:lineRule="auto"/>
        <w:rPr>
          <w:rFonts w:hint="eastAsia" w:ascii="Times New Roman" w:hAnsi="Times New Roman" w:cs="Times New Roman"/>
        </w:rPr>
      </w:pPr>
      <w:r>
        <w:rPr>
          <w:rFonts w:hint="eastAsia" w:ascii="Times New Roman" w:hAnsi="Times New Roman" w:cs="Times New Roman"/>
        </w:rPr>
        <w:t>3.专业条件。服务机构应派驻一定数量的医学、核保核赔等专业背景的工作人员到医保经办部门从事医疗补助的一站式结算，协同医保经办机构建立医疗补助巡查稽核、风险控制和应急处置等工作。</w:t>
      </w:r>
    </w:p>
    <w:p>
      <w:pPr>
        <w:pStyle w:val="2"/>
        <w:spacing w:line="360" w:lineRule="auto"/>
        <w:rPr>
          <w:rFonts w:hint="eastAsia" w:ascii="Times New Roman" w:hAnsi="Times New Roman" w:cs="Times New Roman"/>
        </w:rPr>
      </w:pPr>
      <w:r>
        <w:rPr>
          <w:rFonts w:hint="eastAsia" w:ascii="Times New Roman" w:hAnsi="Times New Roman" w:cs="Times New Roman"/>
        </w:rPr>
        <w:t>4.接受监管。服务机构须接受县医保局、县财政局就相关业务监督检查，可以根据理赔情况或患者投诉，调阅理赔资料，进行复审。</w:t>
      </w:r>
    </w:p>
    <w:p>
      <w:pPr>
        <w:pStyle w:val="2"/>
        <w:rPr>
          <w:rFonts w:hint="eastAsia"/>
        </w:rPr>
      </w:pPr>
    </w:p>
    <w:p>
      <w:pPr>
        <w:pStyle w:val="2"/>
        <w:rPr>
          <w:rFonts w:hint="eastAsia"/>
        </w:rPr>
      </w:pP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Book Antiqua">
    <w:altName w:val="Segoe Print"/>
    <w:panose1 w:val="02040602050305030304"/>
    <w:charset w:val="00"/>
    <w:family w:val="roman"/>
    <w:pitch w:val="default"/>
    <w:sig w:usb0="00000000" w:usb1="00000000" w:usb2="00000000" w:usb3="00000000" w:csb0="2000009F" w:csb1="DFD70000"/>
  </w:font>
  <w:font w:name="Segoe Print">
    <w:panose1 w:val="02000600000000000000"/>
    <w:charset w:val="00"/>
    <w:family w:val="auto"/>
    <w:pitch w:val="default"/>
    <w:sig w:usb0="0000028F" w:usb1="00000000" w:usb2="00000000" w:usb3="00000000" w:csb0="2000009F" w:csb1="4701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2E"/>
    <w:multiLevelType w:val="multilevel"/>
    <w:tmpl w:val="0000002E"/>
    <w:lvl w:ilvl="0" w:tentative="0">
      <w:start w:val="1"/>
      <w:numFmt w:val="japaneseCounting"/>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japaneseCounting"/>
      <w:lvlText w:val="%4、"/>
      <w:lvlJc w:val="left"/>
      <w:pPr>
        <w:ind w:left="0" w:firstLine="0"/>
      </w:pPr>
      <w:rPr>
        <w:rFonts w:hint="default"/>
      </w:r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49A3F441"/>
    <w:multiLevelType w:val="singleLevel"/>
    <w:tmpl w:val="49A3F441"/>
    <w:lvl w:ilvl="0" w:tentative="0">
      <w:start w:val="1"/>
      <w:numFmt w:val="decimal"/>
      <w:lvlText w:val="%1."/>
      <w:lvlJc w:val="left"/>
      <w:pPr>
        <w:tabs>
          <w:tab w:val="left" w:pos="312"/>
        </w:tabs>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DFF40B4"/>
    <w:rsid w:val="6DFF40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Book Antiqua" w:hAnsi="Book Antiqua" w:eastAsia="宋体" w:cs="宋体"/>
      <w:kern w:val="2"/>
      <w:sz w:val="24"/>
      <w:szCs w:val="24"/>
      <w:lang w:val="en-US" w:eastAsia="zh-CN" w:bidi="ar-SA"/>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customStyle="1" w:styleId="2">
    <w:name w:val="无间隔1"/>
    <w:basedOn w:val="1"/>
    <w:uiPriority w:val="0"/>
    <w:pPr>
      <w:spacing w:line="400" w:lineRule="exact"/>
    </w:pPr>
    <w:rPr>
      <w:rFonts w:eastAsia="宋体"/>
      <w:sz w:val="24"/>
    </w:rPr>
  </w:style>
  <w:style w:type="paragraph" w:styleId="3">
    <w:name w:val="Title"/>
    <w:basedOn w:val="1"/>
    <w:qFormat/>
    <w:uiPriority w:val="0"/>
    <w:pPr>
      <w:spacing w:before="240" w:beforeLines="0" w:after="60" w:afterLines="0"/>
      <w:jc w:val="center"/>
      <w:outlineLvl w:val="0"/>
    </w:pPr>
    <w:rPr>
      <w:rFonts w:ascii="Arial" w:hAnsi="Arial" w:eastAsia="宋体" w:cs="Arial"/>
      <w:b/>
      <w:bCs/>
      <w:sz w:val="32"/>
      <w:szCs w:val="32"/>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Office_11.1.0.9584_F1E327BC-269C-435d-A152-05C5408002CA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2021-02-20T03:46:00Z</dcterms:created>
  <dc:creator>Administrator</dc:creator>
  <cp:lastModifiedBy>Administrator</cp:lastModifiedBy>
  <dcterms:modified xsi:type="dcterms:W3CDTF">2021-02-20T03:47:06Z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2052-11.1.0.9584</vt:lpwstr>
  </property>
</Properties>
</file>