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spacing w:line="480" w:lineRule="exact"/>
        <w:ind w:leftChars="0" w:right="-72" w:rightChars="-30"/>
        <w:jc w:val="center"/>
        <w:rPr>
          <w:rFonts w:hint="eastAsia" w:ascii="宋体" w:hAnsi="宋体" w:eastAsia="宋体" w:cs="宋体"/>
          <w:bCs w:val="0"/>
          <w:sz w:val="30"/>
          <w:szCs w:val="30"/>
        </w:rPr>
      </w:pPr>
      <w:bookmarkStart w:id="0" w:name="_Toc10536"/>
      <w:bookmarkStart w:id="1" w:name="_Toc477166579"/>
      <w:bookmarkStart w:id="2" w:name="_Toc458698253"/>
      <w:r>
        <w:rPr>
          <w:rFonts w:hint="eastAsia" w:ascii="宋体" w:hAnsi="宋体" w:eastAsia="宋体" w:cs="宋体"/>
          <w:bCs w:val="0"/>
          <w:sz w:val="30"/>
          <w:szCs w:val="30"/>
          <w:lang w:eastAsia="zh-CN"/>
        </w:rPr>
        <w:t>第四章</w:t>
      </w:r>
      <w:r>
        <w:rPr>
          <w:rFonts w:hint="eastAsia" w:ascii="宋体" w:hAnsi="宋体" w:eastAsia="宋体" w:cs="宋体"/>
          <w:bCs w:val="0"/>
          <w:sz w:val="30"/>
          <w:szCs w:val="30"/>
          <w:lang w:val="en-US" w:eastAsia="zh-CN"/>
        </w:rPr>
        <w:t xml:space="preserve">  </w:t>
      </w:r>
      <w:r>
        <w:rPr>
          <w:rFonts w:hint="eastAsia" w:ascii="宋体" w:hAnsi="宋体" w:eastAsia="宋体" w:cs="宋体"/>
          <w:bCs w:val="0"/>
          <w:sz w:val="30"/>
          <w:szCs w:val="30"/>
        </w:rPr>
        <w:t>采购需求</w:t>
      </w:r>
      <w:bookmarkEnd w:id="0"/>
      <w:bookmarkEnd w:id="1"/>
      <w:bookmarkEnd w:id="2"/>
    </w:p>
    <w:p>
      <w:pPr>
        <w:keepNext w:val="0"/>
        <w:keepLines w:val="0"/>
        <w:pageBreakBefore w:val="0"/>
        <w:widowControl/>
        <w:numPr>
          <w:ilvl w:val="0"/>
          <w:numId w:val="0"/>
        </w:numPr>
        <w:kinsoku/>
        <w:overflowPunct/>
        <w:topLinePunct w:val="0"/>
        <w:autoSpaceDE/>
        <w:autoSpaceDN/>
        <w:bidi w:val="0"/>
        <w:adjustRightInd w:val="0"/>
        <w:snapToGrid/>
        <w:spacing w:line="360" w:lineRule="auto"/>
        <w:ind w:leftChars="0"/>
        <w:textAlignment w:val="auto"/>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lang w:eastAsia="zh-CN"/>
        </w:rPr>
        <w:t>一、</w:t>
      </w:r>
      <w:r>
        <w:rPr>
          <w:rFonts w:hint="eastAsia" w:ascii="宋体" w:hAnsi="宋体" w:eastAsia="宋体" w:cs="宋体"/>
          <w:b/>
          <w:color w:val="000000"/>
          <w:kern w:val="0"/>
          <w:sz w:val="21"/>
          <w:szCs w:val="21"/>
        </w:rPr>
        <w:t>相关说明</w:t>
      </w:r>
    </w:p>
    <w:p>
      <w:pPr>
        <w:keepNext w:val="0"/>
        <w:keepLines w:val="0"/>
        <w:pageBreakBefore w:val="0"/>
        <w:widowControl/>
        <w:numPr>
          <w:ilvl w:val="0"/>
          <w:numId w:val="0"/>
        </w:numPr>
        <w:kinsoku/>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color w:val="000000"/>
          <w:kern w:val="0"/>
          <w:sz w:val="21"/>
          <w:szCs w:val="21"/>
        </w:rPr>
      </w:pPr>
      <w:r>
        <w:rPr>
          <w:rFonts w:hint="eastAsia" w:ascii="宋体" w:hAnsi="宋体" w:eastAsia="宋体" w:cs="宋体"/>
          <w:bCs/>
          <w:color w:val="000000"/>
          <w:kern w:val="0"/>
          <w:sz w:val="21"/>
          <w:szCs w:val="21"/>
          <w:lang w:val="en-US" w:eastAsia="zh-CN"/>
        </w:rPr>
        <w:t>1.</w:t>
      </w:r>
      <w:r>
        <w:rPr>
          <w:rFonts w:hint="eastAsia" w:ascii="宋体" w:hAnsi="宋体" w:eastAsia="宋体" w:cs="宋体"/>
          <w:bCs/>
          <w:color w:val="000000"/>
          <w:kern w:val="0"/>
          <w:sz w:val="21"/>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000000"/>
          <w:kern w:val="0"/>
          <w:sz w:val="21"/>
          <w:szCs w:val="21"/>
        </w:rPr>
        <w:t>。</w:t>
      </w:r>
    </w:p>
    <w:p>
      <w:pPr>
        <w:keepNext w:val="0"/>
        <w:keepLines w:val="0"/>
        <w:pageBreakBefore w:val="0"/>
        <w:widowControl/>
        <w:numPr>
          <w:ilvl w:val="0"/>
          <w:numId w:val="0"/>
        </w:numPr>
        <w:kinsoku/>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0"/>
          <w:numId w:val="0"/>
        </w:numPr>
        <w:kinsoku/>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本采购项目为交钥匙项目，验收合格前所需的一切费用均包含在报价之中，采购人不承担成交价格以外的任何费用。</w:t>
      </w:r>
    </w:p>
    <w:p>
      <w:pPr>
        <w:keepNext w:val="0"/>
        <w:keepLines w:val="0"/>
        <w:pageBreakBefore w:val="0"/>
        <w:widowControl/>
        <w:numPr>
          <w:ilvl w:val="0"/>
          <w:numId w:val="0"/>
        </w:numPr>
        <w:kinsoku/>
        <w:overflowPunct/>
        <w:topLinePunct w:val="0"/>
        <w:autoSpaceDE/>
        <w:autoSpaceDN/>
        <w:bidi w:val="0"/>
        <w:adjustRightInd w:val="0"/>
        <w:snapToGrid/>
        <w:spacing w:line="360" w:lineRule="auto"/>
        <w:jc w:val="left"/>
        <w:textAlignment w:val="auto"/>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lang w:eastAsia="zh-CN"/>
        </w:rPr>
        <w:t>二、</w:t>
      </w:r>
      <w:r>
        <w:rPr>
          <w:rFonts w:hint="eastAsia" w:ascii="宋体" w:hAnsi="宋体" w:eastAsia="宋体" w:cs="宋体"/>
          <w:b/>
          <w:color w:val="000000"/>
          <w:kern w:val="0"/>
          <w:sz w:val="21"/>
          <w:szCs w:val="21"/>
        </w:rPr>
        <w:t>商务要求：</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1.服务内容：</w:t>
      </w:r>
      <w:r>
        <w:rPr>
          <w:rFonts w:hint="eastAsia" w:ascii="宋体" w:hAnsi="宋体" w:eastAsia="宋体" w:cs="宋体"/>
          <w:color w:val="auto"/>
          <w:sz w:val="21"/>
          <w:szCs w:val="21"/>
        </w:rPr>
        <w:t>武陟县域城市形象提升设计</w:t>
      </w:r>
      <w:r>
        <w:rPr>
          <w:rFonts w:hint="eastAsia" w:ascii="宋体" w:hAnsi="宋体" w:eastAsia="宋体" w:cs="宋体"/>
          <w:color w:val="auto"/>
          <w:sz w:val="21"/>
          <w:szCs w:val="21"/>
          <w:lang w:val="en-US" w:eastAsia="zh-CN"/>
        </w:rPr>
        <w:t>导则（夜景照明专项/户外广告专项）编制</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城区指定100栋公共建筑外立面色彩设计</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Hans"/>
        </w:rPr>
        <w:t>其中</w:t>
      </w:r>
      <w:r>
        <w:rPr>
          <w:rFonts w:hint="eastAsia" w:ascii="宋体" w:hAnsi="宋体" w:eastAsia="宋体" w:cs="宋体"/>
          <w:color w:val="auto"/>
          <w:sz w:val="21"/>
          <w:szCs w:val="21"/>
          <w:lang w:val="en-US" w:eastAsia="zh-CN"/>
        </w:rPr>
        <w:t>含老旧小区改造</w:t>
      </w:r>
      <w:r>
        <w:rPr>
          <w:rFonts w:hint="eastAsia" w:ascii="宋体" w:hAnsi="宋体" w:eastAsia="宋体" w:cs="宋体"/>
          <w:color w:val="auto"/>
          <w:sz w:val="21"/>
          <w:szCs w:val="21"/>
          <w:lang w:val="en-US" w:eastAsia="zh-Hans"/>
        </w:rPr>
        <w:t>亟待</w:t>
      </w:r>
      <w:r>
        <w:rPr>
          <w:rFonts w:hint="eastAsia" w:ascii="宋体" w:hAnsi="宋体" w:eastAsia="宋体" w:cs="宋体"/>
          <w:color w:val="auto"/>
          <w:sz w:val="21"/>
          <w:szCs w:val="21"/>
          <w:lang w:val="en-US" w:eastAsia="zh-CN"/>
        </w:rPr>
        <w:t>设计的92栋楼</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lang w:val="en-US" w:eastAsia="zh-Hans"/>
        </w:rPr>
        <w:t>采购设计范围</w:t>
      </w:r>
      <w:r>
        <w:rPr>
          <w:rFonts w:hint="eastAsia" w:ascii="宋体" w:hAnsi="宋体" w:eastAsia="宋体" w:cs="宋体"/>
          <w:color w:val="auto"/>
          <w:sz w:val="21"/>
          <w:szCs w:val="21"/>
          <w:lang w:val="en-US" w:eastAsia="zh-CN"/>
        </w:rPr>
        <w:t>50公顷，色彩管控年度服</w:t>
      </w:r>
      <w:r>
        <w:rPr>
          <w:rFonts w:hint="eastAsia" w:ascii="宋体" w:hAnsi="宋体" w:eastAsia="宋体" w:cs="宋体"/>
          <w:color w:val="auto"/>
          <w:sz w:val="21"/>
          <w:szCs w:val="21"/>
        </w:rPr>
        <w:t>务及招标人规定的其他技术服务，包括但不限于：</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（1）武陟县域城市形象提升设计</w:t>
      </w:r>
      <w:r>
        <w:rPr>
          <w:rFonts w:hint="eastAsia" w:ascii="宋体" w:hAnsi="宋体" w:eastAsia="宋体" w:cs="宋体"/>
          <w:color w:val="auto"/>
          <w:sz w:val="21"/>
          <w:szCs w:val="21"/>
          <w:lang w:val="en-US" w:eastAsia="zh-CN"/>
        </w:rPr>
        <w:t>导则（夜景照明专项/户外广告专项）编制</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城区指定100栋公共建筑外立面色彩设计</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Hans"/>
        </w:rPr>
        <w:t>其中</w:t>
      </w:r>
      <w:r>
        <w:rPr>
          <w:rFonts w:hint="eastAsia" w:ascii="宋体" w:hAnsi="宋体" w:eastAsia="宋体" w:cs="宋体"/>
          <w:color w:val="auto"/>
          <w:sz w:val="21"/>
          <w:szCs w:val="21"/>
          <w:lang w:val="en-US" w:eastAsia="zh-CN"/>
        </w:rPr>
        <w:t>含老旧小区改造</w:t>
      </w:r>
      <w:r>
        <w:rPr>
          <w:rFonts w:hint="eastAsia" w:ascii="宋体" w:hAnsi="宋体" w:eastAsia="宋体" w:cs="宋体"/>
          <w:color w:val="auto"/>
          <w:sz w:val="21"/>
          <w:szCs w:val="21"/>
          <w:lang w:val="en-US" w:eastAsia="zh-Hans"/>
        </w:rPr>
        <w:t>亟待</w:t>
      </w:r>
      <w:r>
        <w:rPr>
          <w:rFonts w:hint="eastAsia" w:ascii="宋体" w:hAnsi="宋体" w:eastAsia="宋体" w:cs="宋体"/>
          <w:color w:val="auto"/>
          <w:sz w:val="21"/>
          <w:szCs w:val="21"/>
          <w:lang w:val="en-US" w:eastAsia="zh-CN"/>
        </w:rPr>
        <w:t>设计的92栋楼</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（3）城市色彩管控服务；</w:t>
      </w:r>
    </w:p>
    <w:p>
      <w:pPr>
        <w:spacing w:line="360" w:lineRule="auto"/>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（4）规委会重点项目评审服务</w:t>
      </w:r>
      <w:r>
        <w:rPr>
          <w:rFonts w:hint="eastAsia" w:ascii="宋体" w:hAnsi="宋体" w:eastAsia="宋体" w:cs="宋体"/>
          <w:color w:val="auto"/>
          <w:sz w:val="21"/>
          <w:szCs w:val="21"/>
          <w:lang w:eastAsia="zh-CN"/>
        </w:rPr>
        <w:t>。</w:t>
      </w:r>
    </w:p>
    <w:p>
      <w:pPr>
        <w:keepNext w:val="0"/>
        <w:keepLines w:val="0"/>
        <w:pageBreakBefore w:val="0"/>
        <w:numPr>
          <w:ilvl w:val="0"/>
          <w:numId w:val="0"/>
        </w:numPr>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合同履行期限：自合同签订之日起至2021年12月31止</w:t>
      </w:r>
    </w:p>
    <w:p>
      <w:pPr>
        <w:keepNext w:val="0"/>
        <w:keepLines w:val="0"/>
        <w:pageBreakBefore w:val="0"/>
        <w:numPr>
          <w:ilvl w:val="0"/>
          <w:numId w:val="0"/>
        </w:numPr>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质量标准：符合国家、省、市及地方技术标准和规范并满足</w:t>
      </w: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 xml:space="preserve">要求 </w:t>
      </w:r>
    </w:p>
    <w:p>
      <w:pPr>
        <w:keepNext w:val="0"/>
        <w:keepLines w:val="0"/>
        <w:pageBreakBefore w:val="0"/>
        <w:numPr>
          <w:ilvl w:val="0"/>
          <w:numId w:val="0"/>
        </w:numPr>
        <w:kinsoku/>
        <w:overflowPunct/>
        <w:topLinePunct w:val="0"/>
        <w:autoSpaceDE/>
        <w:autoSpaceDN/>
        <w:bidi w:val="0"/>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付款方式：成果提交并验收完成后</w:t>
      </w:r>
      <w:r>
        <w:rPr>
          <w:rFonts w:hint="eastAsia" w:ascii="宋体" w:hAnsi="宋体" w:eastAsia="宋体" w:cs="宋体"/>
          <w:color w:val="auto"/>
          <w:sz w:val="21"/>
          <w:szCs w:val="21"/>
          <w:lang w:val="en-US" w:eastAsia="zh-CN"/>
        </w:rPr>
        <w:t>支</w:t>
      </w:r>
      <w:r>
        <w:rPr>
          <w:rFonts w:hint="eastAsia" w:ascii="宋体" w:hAnsi="宋体" w:eastAsia="宋体" w:cs="宋体"/>
          <w:color w:val="auto"/>
          <w:sz w:val="21"/>
          <w:szCs w:val="21"/>
        </w:rPr>
        <w:t>付合同价款的</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0%，</w:t>
      </w:r>
      <w:r>
        <w:rPr>
          <w:rFonts w:hint="eastAsia" w:ascii="宋体" w:hAnsi="宋体" w:eastAsia="宋体" w:cs="宋体"/>
          <w:sz w:val="21"/>
          <w:szCs w:val="21"/>
        </w:rPr>
        <w:t>合同履行期限</w:t>
      </w:r>
      <w:r>
        <w:rPr>
          <w:rFonts w:hint="eastAsia" w:ascii="宋体" w:hAnsi="宋体" w:eastAsia="宋体" w:cs="宋体"/>
          <w:sz w:val="21"/>
          <w:szCs w:val="21"/>
          <w:lang w:val="en-US" w:eastAsia="zh-CN"/>
        </w:rPr>
        <w:t>结束</w:t>
      </w:r>
      <w:r>
        <w:rPr>
          <w:rFonts w:hint="eastAsia" w:ascii="宋体" w:hAnsi="宋体" w:eastAsia="宋体" w:cs="宋体"/>
          <w:color w:val="auto"/>
          <w:sz w:val="21"/>
          <w:szCs w:val="21"/>
        </w:rPr>
        <w:t>后</w:t>
      </w:r>
      <w:r>
        <w:rPr>
          <w:rFonts w:hint="eastAsia" w:ascii="宋体" w:hAnsi="宋体" w:eastAsia="宋体" w:cs="宋体"/>
          <w:color w:val="auto"/>
          <w:sz w:val="21"/>
          <w:szCs w:val="21"/>
          <w:lang w:val="en-US" w:eastAsia="zh-CN"/>
        </w:rPr>
        <w:t>支</w:t>
      </w:r>
      <w:r>
        <w:rPr>
          <w:rFonts w:hint="eastAsia" w:ascii="宋体" w:hAnsi="宋体" w:eastAsia="宋体" w:cs="宋体"/>
          <w:color w:val="auto"/>
          <w:sz w:val="21"/>
          <w:szCs w:val="21"/>
        </w:rPr>
        <w:t>付剩余合同价款的</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0%</w:t>
      </w:r>
      <w:r>
        <w:rPr>
          <w:rFonts w:hint="eastAsia" w:ascii="宋体" w:hAnsi="宋体" w:eastAsia="宋体" w:cs="宋体"/>
          <w:color w:val="auto"/>
          <w:sz w:val="21"/>
          <w:szCs w:val="21"/>
          <w:lang w:eastAsia="zh-CN"/>
        </w:rPr>
        <w:t>。</w:t>
      </w:r>
    </w:p>
    <w:p>
      <w:pPr>
        <w:keepNext w:val="0"/>
        <w:keepLines w:val="0"/>
        <w:pageBreakBefore w:val="0"/>
        <w:numPr>
          <w:ilvl w:val="0"/>
          <w:numId w:val="0"/>
        </w:numPr>
        <w:kinsoku/>
        <w:overflowPunct/>
        <w:topLinePunct w:val="0"/>
        <w:autoSpaceDE/>
        <w:autoSpaceDN/>
        <w:bidi w:val="0"/>
        <w:snapToGrid/>
        <w:spacing w:line="360" w:lineRule="auto"/>
        <w:textAlignment w:val="auto"/>
        <w:rPr>
          <w:rFonts w:hint="eastAsia" w:ascii="宋体" w:hAnsi="宋体" w:eastAsia="宋体" w:cs="宋体"/>
          <w:b/>
          <w:color w:val="auto"/>
          <w:kern w:val="0"/>
          <w:sz w:val="21"/>
          <w:szCs w:val="21"/>
        </w:rPr>
      </w:pPr>
      <w:r>
        <w:rPr>
          <w:rFonts w:hint="eastAsia" w:ascii="宋体" w:hAnsi="宋体" w:eastAsia="宋体" w:cs="宋体"/>
          <w:color w:val="auto"/>
          <w:sz w:val="21"/>
          <w:szCs w:val="21"/>
          <w:lang w:eastAsia="zh-CN"/>
        </w:rPr>
        <w:t>三、</w:t>
      </w:r>
      <w:r>
        <w:rPr>
          <w:rFonts w:hint="eastAsia" w:ascii="宋体" w:hAnsi="宋体" w:eastAsia="宋体" w:cs="宋体"/>
          <w:b/>
          <w:color w:val="auto"/>
          <w:kern w:val="0"/>
          <w:sz w:val="21"/>
          <w:szCs w:val="21"/>
        </w:rPr>
        <w:t>其他要求：</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商品包装要求：</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根据财政部“关于印发《商品包装政府采购需求标准（试行）》、 《快递包装政府采购需求标准（试行）》的通知”政府采购货物、工程和服务项目中涉及商品包装和快递包装的，要参考《商品包装政府采购需求标准（试行）》、 《快递包装政府采购需求标准（试行）》包装需求标准，政府采购合同应当载明对政府采购供应商提供产品及相关快递服务的具体包装要求和履约验收相关条款，必要时要求中标、成交供应商在履约验收环节出具检测报告。采购人可以根据以下标准，制定符合本项目的包装要求，但不得低于以下标准：</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商品包装政府采购需求标准（试行）</w:t>
      </w:r>
    </w:p>
    <w:p>
      <w:pPr>
        <w:keepNext w:val="0"/>
        <w:keepLines w:val="0"/>
        <w:pageBreakBefore w:val="0"/>
        <w:widowControl/>
        <w:numPr>
          <w:ilvl w:val="0"/>
          <w:numId w:val="1"/>
        </w:numPr>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适用范围 </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本标准规定了商品使用的塑料、纸质、木质等包装材料的环保要求。 </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二、商品包装环保要求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1.商品包装层数不得超过 3 层，空隙率不大于 40%；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2.商品包装尽可能使用单一材质的包装材料，如因功能需求必需使用不同材质，不同材质间应便于分离；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3.商品包装中铅、汞、镉、六价铬的总含量应不大于100mg/kg；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4.商品包装印刷使用的油墨中挥发性有机化合物(VOCs)含量应不大于 5%（以重量计）；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5.塑料材质商品包装上呈现的印刷颜色不得超过6色；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6.纸质商品包装应使用75%以上的可再生纤维原料生产；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7.木质商品包装的原料应来源于可持续性森林。 </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三、检测方法 </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1.商品包装中重金属（铅、汞、镉、六价铬）总量的检测按照 GB/T 10004-2008《包装用塑料复合膜、袋干法复合、挤出复合》规定的方法进行。</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2.商品包装印刷使用的油墨中挥发性有机化合物(VOCs)的检测按照 GB/T 23986-2009《色漆和清漆 挥发性有机化合物(VOC)含量的测定 气相色谱法》规定的方法进行。</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快递包装政府采购需求标准（试行）</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 适用范围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本标准中的快递包装主要指快递封装材料，包括封套、胶带、面单、包装袋/箱、填充物、集装袋、周转箱等。 </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 快递包装环保要求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1.快递包装中重金属（铅、汞、镉、六价铬）总量应不大于 100mg/kg；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2.快递包装印刷使用的油墨中不应添加邻苯二甲酸酯，其挥发性有机化合物(VOCs)含量应不大于 5%（以重量计）；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3.快递包装中使用纸基材的包装材料，纸基材中的有机氯的含量应不大于150mg/kg；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4.快递包装中使用塑料基材的包装材料不得使用邻苯二甲酸二异壬酯、邻苯二甲酸二正辛酯、邻苯二甲酸二(2-乙基)己酯、邻苯二甲酸二异癸酯、邻苯二甲酸丁基苄基酯、邻苯二甲酸二丁酯等作为增塑剂；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5.快递中使用的塑料包装袋不得使用聚氯乙烯作为原料，且原料应为单一材质制成，生物分解率大于 60%；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6.快递中使用的充气类填充物不得使用聚氯乙烯作为原料，且原料为单一材质制成，生物分解率大于 60%；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7.快递中使用的集装袋应为单一材质制成，其重复使用次数应不小于 80 次；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8.快递中应使用幅宽不大于 45mm的生物降解胶带；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9.快递包装中不得使用溶剂型胶粘剂；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10.快递应使用电子面单；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11.直接使用商品包装作为快递包装的商品，其商品包装满足《商品包装政府采购需求标准（试行）》即可； </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12.快递包装产品质量和封装方式应符合相关国家或行业标准技术指标要求。 </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三、检测方法 </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1.快递包装中重金属（铅、汞、镉、六价铬）总量的检测按照 GB/T 10004-2008《包装用塑料复合膜、袋干法复合、挤出复合》规定的方法进行。 </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2.快递包装印刷使用的油墨中挥发性有机化合物(VOCs)的检测按照 GB/T 23986-2009《色漆和清漆 挥发性有机化合物(VOC)含量的测定 气相色谱法》规定的方法进行。 </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3.快递包装所使用的塑料包装的生物降解率的检测按照 GB/T 20197-2006《降解塑料的定义、分类、标识和降解性能要求》规定的方法进行。 </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4.快递包装使用纸基材的包装材料中有机氯的检测按照 GB/T22904-2008《纸浆、纸和纸板总氯和有机氯的检定》规定的方法进行。 </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5.快递包装中使用的生物降解胶带的生物降解率的检测按照 GB/T19277.1《受控堆肥条件下材料最终需氧生物分解能力的测定采用测定释放的二氧化碳的方法 第 1 部分：通用方法》规定的方法进行。</w:t>
      </w:r>
    </w:p>
    <w:p>
      <w:pPr>
        <w:keepNext w:val="0"/>
        <w:keepLines w:val="0"/>
        <w:pageBreakBefore w:val="0"/>
        <w:widowControl/>
        <w:suppressLineNumbers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b/>
          <w:color w:val="000000"/>
          <w:kern w:val="0"/>
          <w:sz w:val="21"/>
          <w:szCs w:val="21"/>
        </w:rPr>
      </w:pPr>
      <w:r>
        <w:rPr>
          <w:rFonts w:hint="eastAsia" w:ascii="宋体" w:hAnsi="宋体" w:eastAsia="宋体" w:cs="宋体"/>
          <w:color w:val="000000"/>
          <w:kern w:val="0"/>
          <w:sz w:val="21"/>
          <w:szCs w:val="21"/>
          <w:lang w:val="en-US" w:eastAsia="zh-CN" w:bidi="ar"/>
        </w:rPr>
        <w:t>四、</w:t>
      </w:r>
      <w:r>
        <w:rPr>
          <w:rFonts w:hint="eastAsia" w:ascii="宋体" w:hAnsi="宋体" w:eastAsia="宋体" w:cs="宋体"/>
          <w:b/>
          <w:color w:val="000000"/>
          <w:kern w:val="0"/>
          <w:sz w:val="21"/>
          <w:szCs w:val="21"/>
        </w:rPr>
        <w:t>需要落实的政府采购政策</w:t>
      </w:r>
    </w:p>
    <w:p>
      <w:pPr>
        <w:keepNext w:val="0"/>
        <w:keepLines w:val="0"/>
        <w:pageBreakBefore w:val="0"/>
        <w:numPr>
          <w:ilvl w:val="1"/>
          <w:numId w:val="2"/>
        </w:numPr>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促进中小企业、监狱企业和残疾人福利性单位发展扶持政策</w:t>
      </w:r>
    </w:p>
    <w:p>
      <w:pPr>
        <w:keepNext w:val="0"/>
        <w:keepLines w:val="0"/>
        <w:pageBreakBefore w:val="0"/>
        <w:numPr>
          <w:ilvl w:val="0"/>
          <w:numId w:val="0"/>
        </w:numPr>
        <w:kinsoku/>
        <w:overflowPunct/>
        <w:topLinePunct w:val="0"/>
        <w:autoSpaceDE/>
        <w:autoSpaceDN/>
        <w:bidi w:val="0"/>
        <w:snapToGrid/>
        <w:spacing w:line="360" w:lineRule="auto"/>
        <w:ind w:firstLine="422" w:firstLineChars="200"/>
        <w:textAlignment w:val="auto"/>
        <w:rPr>
          <w:rFonts w:hint="eastAsia" w:ascii="宋体" w:hAnsi="宋体" w:eastAsia="宋体" w:cs="宋体"/>
          <w:bCs/>
          <w:color w:val="auto"/>
          <w:sz w:val="21"/>
          <w:szCs w:val="21"/>
        </w:rPr>
      </w:pPr>
      <w:r>
        <w:rPr>
          <w:rFonts w:hint="eastAsia" w:ascii="宋体" w:hAnsi="宋体" w:eastAsia="宋体" w:cs="宋体"/>
          <w:b/>
          <w:bCs/>
          <w:color w:val="auto"/>
          <w:sz w:val="21"/>
          <w:szCs w:val="21"/>
          <w:lang w:val="en-US" w:eastAsia="zh-CN"/>
        </w:rPr>
        <w:t>1.</w:t>
      </w:r>
      <w:r>
        <w:rPr>
          <w:rFonts w:hint="eastAsia" w:ascii="宋体" w:hAnsi="宋体" w:eastAsia="宋体" w:cs="宋体"/>
          <w:b/>
          <w:bCs/>
          <w:color w:val="auto"/>
          <w:sz w:val="21"/>
          <w:szCs w:val="21"/>
        </w:rPr>
        <w:t>促进中小企业发展扶持政策</w:t>
      </w:r>
      <w:r>
        <w:rPr>
          <w:rFonts w:hint="eastAsia" w:ascii="宋体" w:hAnsi="宋体" w:eastAsia="宋体" w:cs="宋体"/>
          <w:bCs/>
          <w:color w:val="auto"/>
          <w:sz w:val="21"/>
          <w:szCs w:val="21"/>
        </w:rPr>
        <w:t>：</w:t>
      </w:r>
    </w:p>
    <w:p>
      <w:pPr>
        <w:keepNext w:val="0"/>
        <w:keepLines w:val="0"/>
        <w:pageBreakBefore w:val="0"/>
        <w:numPr>
          <w:ilvl w:val="0"/>
          <w:numId w:val="3"/>
        </w:numPr>
        <w:kinsoku/>
        <w:overflowPunct/>
        <w:topLinePunct w:val="0"/>
        <w:autoSpaceDE/>
        <w:autoSpaceDN/>
        <w:bidi w:val="0"/>
        <w:snapToGrid/>
        <w:spacing w:line="360" w:lineRule="auto"/>
        <w:ind w:firstLine="424" w:firstLineChars="202"/>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中小企业</w:t>
      </w:r>
      <w:r>
        <w:rPr>
          <w:rFonts w:hint="eastAsia" w:ascii="宋体" w:hAnsi="宋体" w:eastAsia="宋体" w:cs="宋体"/>
          <w:bCs/>
          <w:color w:val="auto"/>
          <w:sz w:val="21"/>
          <w:szCs w:val="21"/>
          <w:lang w:eastAsia="zh-CN"/>
        </w:rPr>
        <w:t>认定</w:t>
      </w:r>
      <w:r>
        <w:rPr>
          <w:rFonts w:hint="eastAsia" w:ascii="宋体" w:hAnsi="宋体" w:eastAsia="宋体" w:cs="宋体"/>
          <w:bCs/>
          <w:color w:val="auto"/>
          <w:sz w:val="21"/>
          <w:szCs w:val="21"/>
        </w:rPr>
        <w:t>：</w:t>
      </w:r>
    </w:p>
    <w:p>
      <w:pPr>
        <w:keepNext w:val="0"/>
        <w:keepLines w:val="0"/>
        <w:pageBreakBefore w:val="0"/>
        <w:numPr>
          <w:ilvl w:val="0"/>
          <w:numId w:val="0"/>
        </w:numPr>
        <w:kinsoku/>
        <w:overflowPunct/>
        <w:topLinePunct w:val="0"/>
        <w:autoSpaceDE/>
        <w:autoSpaceDN/>
        <w:bidi w:val="0"/>
        <w:snapToGrid/>
        <w:spacing w:line="360" w:lineRule="auto"/>
        <w:ind w:firstLine="420" w:firstLineChars="200"/>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numPr>
          <w:ilvl w:val="0"/>
          <w:numId w:val="0"/>
        </w:numPr>
        <w:kinsoku/>
        <w:overflowPunct/>
        <w:topLinePunct w:val="0"/>
        <w:autoSpaceDE/>
        <w:autoSpaceDN/>
        <w:bidi w:val="0"/>
        <w:snapToGrid/>
        <w:spacing w:line="360" w:lineRule="auto"/>
        <w:ind w:firstLine="420" w:firstLineChars="200"/>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符合中小企业划分标准的个体工商户，在政府采购活动中视同中小企业。</w:t>
      </w:r>
    </w:p>
    <w:p>
      <w:pPr>
        <w:keepNext w:val="0"/>
        <w:keepLines w:val="0"/>
        <w:pageBreakBefore w:val="0"/>
        <w:numPr>
          <w:ilvl w:val="0"/>
          <w:numId w:val="0"/>
        </w:numPr>
        <w:kinsoku/>
        <w:overflowPunct/>
        <w:topLinePunct w:val="0"/>
        <w:autoSpaceDE/>
        <w:autoSpaceDN/>
        <w:bidi w:val="0"/>
        <w:snapToGrid/>
        <w:spacing w:line="360" w:lineRule="auto"/>
        <w:ind w:firstLine="420" w:firstLineChars="200"/>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中小企业划分标准见《关于印发中小企业划型标准规定的通知》（工信部联企业〔2011〕300号）</w:t>
      </w:r>
    </w:p>
    <w:p>
      <w:pPr>
        <w:keepNext w:val="0"/>
        <w:keepLines w:val="0"/>
        <w:pageBreakBefore w:val="0"/>
        <w:kinsoku/>
        <w:overflowPunct/>
        <w:topLinePunct w:val="0"/>
        <w:autoSpaceDE/>
        <w:autoSpaceDN/>
        <w:bidi w:val="0"/>
        <w:snapToGrid/>
        <w:spacing w:line="360" w:lineRule="auto"/>
        <w:ind w:firstLine="424" w:firstLineChars="202"/>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2.</w:t>
      </w:r>
      <w:r>
        <w:rPr>
          <w:rFonts w:hint="eastAsia" w:ascii="宋体" w:hAnsi="宋体" w:eastAsia="宋体" w:cs="宋体"/>
          <w:bCs/>
          <w:color w:val="auto"/>
          <w:sz w:val="21"/>
          <w:szCs w:val="21"/>
        </w:rPr>
        <w:t>在服务采购项目中，服务由中小企业承接，即提供服务的人员为中小企业依照《中华人民共和国劳动合同法</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订立劳动合同的从业人员。</w:t>
      </w:r>
    </w:p>
    <w:p>
      <w:pPr>
        <w:keepNext w:val="0"/>
        <w:keepLines w:val="0"/>
        <w:pageBreakBefore w:val="0"/>
        <w:kinsoku/>
        <w:overflowPunct/>
        <w:topLinePunct w:val="0"/>
        <w:autoSpaceDE/>
        <w:autoSpaceDN/>
        <w:bidi w:val="0"/>
        <w:snapToGrid/>
        <w:spacing w:line="360" w:lineRule="auto"/>
        <w:ind w:firstLine="424" w:firstLineChars="202"/>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投标人当按照招标文件规定出具《</w:t>
      </w:r>
      <w:r>
        <w:rPr>
          <w:rFonts w:hint="eastAsia" w:ascii="宋体" w:hAnsi="宋体" w:eastAsia="宋体" w:cs="宋体"/>
          <w:bCs/>
          <w:color w:val="auto"/>
          <w:sz w:val="21"/>
          <w:szCs w:val="21"/>
        </w:rPr>
        <w:t>中小企业声明函</w:t>
      </w:r>
      <w:r>
        <w:rPr>
          <w:rFonts w:hint="eastAsia" w:ascii="宋体" w:hAnsi="宋体" w:eastAsia="宋体" w:cs="宋体"/>
          <w:bCs/>
          <w:color w:val="auto"/>
          <w:sz w:val="21"/>
          <w:szCs w:val="21"/>
          <w:lang w:eastAsia="zh-CN"/>
        </w:rPr>
        <w:t>》，否则不享受相关扶持政策</w:t>
      </w:r>
      <w:r>
        <w:rPr>
          <w:rFonts w:hint="eastAsia" w:ascii="宋体" w:hAnsi="宋体" w:eastAsia="宋体" w:cs="宋体"/>
          <w:bCs/>
          <w:color w:val="auto"/>
          <w:sz w:val="21"/>
          <w:szCs w:val="21"/>
        </w:rPr>
        <w:t>；</w:t>
      </w:r>
    </w:p>
    <w:p>
      <w:pPr>
        <w:keepNext w:val="0"/>
        <w:keepLines w:val="0"/>
        <w:pageBreakBefore w:val="0"/>
        <w:kinsoku/>
        <w:overflowPunct/>
        <w:topLinePunct w:val="0"/>
        <w:autoSpaceDE/>
        <w:autoSpaceDN/>
        <w:bidi w:val="0"/>
        <w:snapToGrid/>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　　</w:t>
      </w:r>
      <w:r>
        <w:rPr>
          <w:rFonts w:hint="eastAsia" w:ascii="宋体" w:hAnsi="宋体" w:eastAsia="宋体" w:cs="宋体"/>
          <w:bCs/>
          <w:color w:val="auto"/>
          <w:sz w:val="21"/>
          <w:szCs w:val="21"/>
          <w:lang w:val="en-US" w:eastAsia="zh-CN"/>
        </w:rPr>
        <w:t>2.</w:t>
      </w:r>
      <w:r>
        <w:rPr>
          <w:rFonts w:hint="eastAsia" w:ascii="宋体" w:hAnsi="宋体" w:eastAsia="宋体" w:cs="宋体"/>
          <w:bCs/>
          <w:color w:val="auto"/>
          <w:sz w:val="21"/>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eastAsia="宋体" w:cs="宋体"/>
          <w:b/>
          <w:bCs w:val="0"/>
          <w:color w:val="auto"/>
          <w:sz w:val="21"/>
          <w:szCs w:val="21"/>
        </w:rPr>
        <w:t>（投标文件商务、技术证明文件正本中提供复印件加盖投标人公章，副本中可为正本的复印件，原件核查）</w:t>
      </w:r>
      <w:r>
        <w:rPr>
          <w:rFonts w:hint="eastAsia" w:ascii="宋体" w:hAnsi="宋体" w:eastAsia="宋体" w:cs="宋体"/>
          <w:bCs/>
          <w:color w:val="auto"/>
          <w:sz w:val="21"/>
          <w:szCs w:val="21"/>
        </w:rPr>
        <w:t>，不再提供《中小企业声明函》,供应商出具的监狱企业证明文件如有虚假，其成交资格将被取消，并根据相关规定进行处罚。</w:t>
      </w:r>
    </w:p>
    <w:p>
      <w:pPr>
        <w:keepNext w:val="0"/>
        <w:keepLines w:val="0"/>
        <w:pageBreakBefore w:val="0"/>
        <w:numPr>
          <w:ilvl w:val="0"/>
          <w:numId w:val="0"/>
        </w:numPr>
        <w:kinsoku/>
        <w:overflowPunct/>
        <w:topLinePunct w:val="0"/>
        <w:autoSpaceDE/>
        <w:autoSpaceDN/>
        <w:bidi w:val="0"/>
        <w:snapToGrid/>
        <w:spacing w:line="360" w:lineRule="auto"/>
        <w:ind w:left="0" w:leftChars="0"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3.</w:t>
      </w:r>
      <w:r>
        <w:rPr>
          <w:rFonts w:hint="eastAsia" w:ascii="宋体" w:hAnsi="宋体" w:eastAsia="宋体" w:cs="宋体"/>
          <w:bCs/>
          <w:color w:val="auto"/>
          <w:sz w:val="21"/>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eastAsia="宋体" w:cs="宋体"/>
          <w:b/>
          <w:bCs/>
          <w:color w:val="auto"/>
          <w:sz w:val="21"/>
          <w:szCs w:val="21"/>
        </w:rPr>
        <w:t>（原件附投标文件商务、技术证明文件正本中，副本可以为正本的复印件）</w:t>
      </w:r>
      <w:r>
        <w:rPr>
          <w:rFonts w:hint="eastAsia" w:ascii="宋体" w:hAnsi="宋体" w:eastAsia="宋体" w:cs="宋体"/>
          <w:bCs/>
          <w:color w:val="auto"/>
          <w:sz w:val="21"/>
          <w:szCs w:val="21"/>
        </w:rPr>
        <w:t>，不再提供《中小企业声明函》，供应商在《残疾人福利性单位声明函》中的承诺如有虚假，其成交资格将被取消，并根据相关规定进行处罚。</w:t>
      </w:r>
    </w:p>
    <w:p>
      <w:pPr>
        <w:keepNext w:val="0"/>
        <w:keepLines w:val="0"/>
        <w:pageBreakBefore w:val="0"/>
        <w:kinsoku/>
        <w:overflowPunct/>
        <w:topLinePunct w:val="0"/>
        <w:autoSpaceDE/>
        <w:autoSpaceDN/>
        <w:bidi w:val="0"/>
        <w:snapToGrid/>
        <w:spacing w:line="360" w:lineRule="auto"/>
        <w:ind w:firstLine="422" w:firstLineChars="200"/>
        <w:textAlignment w:val="auto"/>
        <w:rPr>
          <w:rFonts w:hint="eastAsia" w:ascii="宋体" w:hAnsi="宋体" w:eastAsia="宋体" w:cs="宋体"/>
          <w:color w:val="auto"/>
          <w:sz w:val="21"/>
          <w:szCs w:val="21"/>
        </w:rPr>
      </w:pPr>
      <w:r>
        <w:rPr>
          <w:rFonts w:hint="eastAsia" w:ascii="宋体" w:hAnsi="宋体" w:eastAsia="宋体" w:cs="宋体"/>
          <w:b/>
          <w:bCs/>
          <w:color w:val="auto"/>
          <w:sz w:val="21"/>
          <w:szCs w:val="21"/>
          <w:lang w:eastAsia="zh-CN"/>
        </w:rPr>
        <w:t>采购人根据投标人提供的《</w:t>
      </w:r>
      <w:r>
        <w:rPr>
          <w:rFonts w:hint="eastAsia" w:ascii="宋体" w:hAnsi="宋体" w:eastAsia="宋体" w:cs="宋体"/>
          <w:b/>
          <w:bCs/>
          <w:color w:val="auto"/>
          <w:sz w:val="21"/>
          <w:szCs w:val="21"/>
        </w:rPr>
        <w:t>中小企业声明函</w:t>
      </w:r>
      <w:r>
        <w:rPr>
          <w:rFonts w:hint="eastAsia" w:ascii="宋体" w:hAnsi="宋体" w:eastAsia="宋体" w:cs="宋体"/>
          <w:b/>
          <w:bCs/>
          <w:color w:val="auto"/>
          <w:sz w:val="21"/>
          <w:szCs w:val="21"/>
          <w:lang w:eastAsia="zh-CN"/>
        </w:rPr>
        <w:t>》认定该供应商是否属于中小企业，监狱企业和残疾人福利性单位视同小型、微型企业。不属于中小企业、监狱企业或残疾人福利性单位的拒绝参与本项目投标。</w:t>
      </w:r>
    </w:p>
    <w:p>
      <w:pPr>
        <w:keepNext w:val="0"/>
        <w:keepLines w:val="0"/>
        <w:pageBreakBefore w:val="0"/>
        <w:numPr>
          <w:ilvl w:val="1"/>
          <w:numId w:val="2"/>
        </w:numPr>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节能产品、环境标志产品</w:t>
      </w:r>
    </w:p>
    <w:p>
      <w:pPr>
        <w:keepNext w:val="0"/>
        <w:keepLines w:val="0"/>
        <w:pageBreakBefore w:val="0"/>
        <w:kinsoku/>
        <w:overflowPunct/>
        <w:topLinePunct w:val="0"/>
        <w:autoSpaceDE/>
        <w:autoSpaceDN/>
        <w:bidi w:val="0"/>
        <w:snapToGrid/>
        <w:spacing w:line="360" w:lineRule="auto"/>
        <w:ind w:firstLine="424" w:firstLineChars="202"/>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eastAsia="宋体" w:cs="宋体"/>
          <w:b/>
          <w:bCs/>
          <w:color w:val="auto"/>
          <w:sz w:val="21"/>
          <w:szCs w:val="21"/>
        </w:rPr>
        <w:t>（</w:t>
      </w:r>
      <w:r>
        <w:rPr>
          <w:rFonts w:hint="eastAsia" w:ascii="宋体" w:hAnsi="宋体" w:eastAsia="宋体" w:cs="宋体"/>
          <w:b/>
          <w:bCs/>
          <w:color w:val="auto"/>
          <w:kern w:val="0"/>
          <w:sz w:val="21"/>
          <w:szCs w:val="21"/>
        </w:rPr>
        <w:t>投标文件商务、技术证明文件正本中提供复印件加盖投标人公章，副本中可为正本的复印件</w:t>
      </w:r>
      <w:r>
        <w:rPr>
          <w:rFonts w:hint="eastAsia" w:ascii="宋体" w:hAnsi="宋体" w:eastAsia="宋体" w:cs="宋体"/>
          <w:color w:val="auto"/>
          <w:sz w:val="21"/>
          <w:szCs w:val="21"/>
        </w:rPr>
        <w:t>）</w:t>
      </w:r>
      <w:r>
        <w:rPr>
          <w:rFonts w:hint="eastAsia" w:ascii="宋体" w:hAnsi="宋体" w:eastAsia="宋体" w:cs="宋体"/>
          <w:b/>
          <w:bCs/>
          <w:color w:val="auto"/>
          <w:sz w:val="21"/>
          <w:szCs w:val="21"/>
        </w:rPr>
        <w:t>）</w:t>
      </w:r>
      <w:r>
        <w:rPr>
          <w:rFonts w:hint="eastAsia" w:ascii="宋体" w:hAnsi="宋体" w:eastAsia="宋体" w:cs="宋体"/>
          <w:bCs/>
          <w:color w:val="auto"/>
          <w:sz w:val="21"/>
          <w:szCs w:val="21"/>
        </w:rPr>
        <w:t>，否则不予认定。</w:t>
      </w:r>
    </w:p>
    <w:p>
      <w:pPr>
        <w:keepNext w:val="0"/>
        <w:keepLines w:val="0"/>
        <w:pageBreakBefore w:val="0"/>
        <w:numPr>
          <w:ilvl w:val="1"/>
          <w:numId w:val="2"/>
        </w:numPr>
        <w:kinsoku/>
        <w:overflowPunct/>
        <w:topLinePunct w:val="0"/>
        <w:autoSpaceDE/>
        <w:autoSpaceDN/>
        <w:bidi w:val="0"/>
        <w:snapToGrid/>
        <w:spacing w:line="360" w:lineRule="auto"/>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信息安全产品</w:t>
      </w:r>
    </w:p>
    <w:p>
      <w:pPr>
        <w:keepNext w:val="0"/>
        <w:keepLines w:val="0"/>
        <w:pageBreakBefore w:val="0"/>
        <w:kinsoku/>
        <w:overflowPunct/>
        <w:topLinePunct w:val="0"/>
        <w:autoSpaceDE/>
        <w:autoSpaceDN/>
        <w:bidi w:val="0"/>
        <w:snapToGrid/>
        <w:spacing w:line="360" w:lineRule="auto"/>
        <w:ind w:firstLine="424" w:firstLineChars="202"/>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投标文件商务、技术证明文件正本中提供复印件加盖投标人公章，副本中可为正本的复印件）。</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roman"/>
    <w:pitch w:val="default"/>
    <w:sig w:usb0="00000287" w:usb1="00000000" w:usb2="00000000" w:usb3="00000000" w:csb0="2000009F" w:csb1="DFD70000"/>
  </w:font>
  <w:font w:name="仿宋_GB2312">
    <w:altName w:val="微软雅黑"/>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5DC3DA6F"/>
    <w:multiLevelType w:val="singleLevel"/>
    <w:tmpl w:val="5DC3DA6F"/>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64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Book Antiqua" w:hAnsi="Book Antiqua" w:eastAsia="宋体" w:cs="宋体"/>
      <w:kern w:val="2"/>
      <w:sz w:val="24"/>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uiPriority w:val="0"/>
    <w:pPr>
      <w:spacing w:after="120" w:afterLines="0"/>
      <w:ind w:left="420" w:leftChars="200" w:firstLine="420"/>
    </w:pPr>
  </w:style>
  <w:style w:type="paragraph" w:styleId="3">
    <w:name w:val="Body Text Indent"/>
    <w:basedOn w:val="1"/>
    <w:uiPriority w:val="0"/>
    <w:pPr>
      <w:ind w:firstLine="560" w:firstLineChars="200"/>
    </w:pPr>
    <w:rPr>
      <w:rFonts w:ascii="仿宋_GB2312" w:eastAsia="仿宋_GB2312"/>
      <w:kern w:val="2"/>
      <w:sz w:val="28"/>
    </w:rPr>
  </w:style>
  <w:style w:type="paragraph" w:styleId="4">
    <w:name w:val="Title"/>
    <w:basedOn w:val="1"/>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2021-03-08T05:11:49Z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