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spacing w:line="480" w:lineRule="exact"/>
        <w:ind w:leftChars="0" w:right="-72" w:rightChars="-30"/>
        <w:jc w:val="center"/>
        <w:rPr>
          <w:rFonts w:hint="eastAsia" w:ascii="宋体" w:hAnsi="宋体" w:cs="宋体"/>
          <w:bCs w:val="0"/>
          <w:highlight w:val="none"/>
        </w:rPr>
      </w:pPr>
      <w:bookmarkStart w:id="0" w:name="_Toc67305783"/>
      <w:r>
        <w:rPr>
          <w:rFonts w:hint="eastAsia" w:ascii="宋体" w:hAnsi="宋体" w:cs="宋体"/>
          <w:bCs w:val="0"/>
          <w:highlight w:val="none"/>
        </w:rPr>
        <w:t>采购需求</w:t>
      </w:r>
      <w:bookmarkEnd w:id="0"/>
    </w:p>
    <w:p>
      <w:pPr>
        <w:widowControl/>
        <w:numPr>
          <w:ilvl w:val="3"/>
          <w:numId w:val="1"/>
        </w:numPr>
        <w:adjustRightInd w:val="0"/>
        <w:snapToGrid w:val="0"/>
        <w:spacing w:line="400" w:lineRule="exact"/>
        <w:rPr>
          <w:rFonts w:ascii="宋体" w:hAnsi="宋体"/>
          <w:b/>
          <w:kern w:val="0"/>
          <w:sz w:val="32"/>
          <w:szCs w:val="32"/>
          <w:highlight w:val="none"/>
        </w:rPr>
      </w:pPr>
      <w:r>
        <w:rPr>
          <w:rFonts w:ascii="宋体" w:hAnsi="宋体"/>
          <w:b/>
          <w:kern w:val="0"/>
          <w:sz w:val="32"/>
          <w:szCs w:val="32"/>
          <w:highlight w:val="none"/>
        </w:rPr>
        <w:t>相关说明</w:t>
      </w:r>
    </w:p>
    <w:p>
      <w:pPr>
        <w:widowControl/>
        <w:numPr>
          <w:ilvl w:val="2"/>
          <w:numId w:val="2"/>
        </w:numPr>
        <w:adjustRightInd w:val="0"/>
        <w:snapToGrid w:val="0"/>
        <w:spacing w:line="480" w:lineRule="exact"/>
        <w:ind w:firstLine="480" w:firstLineChars="200"/>
        <w:jc w:val="left"/>
        <w:rPr>
          <w:rFonts w:hint="eastAsia" w:ascii="宋体" w:hAnsi="宋体"/>
          <w:kern w:val="0"/>
          <w:szCs w:val="21"/>
          <w:highlight w:val="none"/>
        </w:rPr>
      </w:pPr>
      <w:r>
        <w:rPr>
          <w:rFonts w:ascii="宋体" w:hAnsi="宋体"/>
          <w:bCs/>
          <w:kern w:val="0"/>
          <w:szCs w:val="21"/>
          <w:highlight w:val="none"/>
        </w:rPr>
        <w:t>招标文件中</w:t>
      </w:r>
      <w:r>
        <w:rPr>
          <w:rFonts w:hint="eastAsia" w:ascii="宋体" w:hAnsi="宋体"/>
          <w:bCs/>
          <w:kern w:val="0"/>
          <w:szCs w:val="21"/>
          <w:highlight w:val="none"/>
        </w:rPr>
        <w:t>列出</w:t>
      </w:r>
      <w:r>
        <w:rPr>
          <w:rFonts w:ascii="宋体" w:hAnsi="宋体"/>
          <w:bCs/>
          <w:kern w:val="0"/>
          <w:szCs w:val="21"/>
          <w:highlight w:val="none"/>
        </w:rPr>
        <w:t>的质</w:t>
      </w:r>
      <w:r>
        <w:rPr>
          <w:rFonts w:hint="eastAsia" w:ascii="宋体" w:hAnsi="宋体"/>
          <w:bCs/>
          <w:kern w:val="0"/>
          <w:szCs w:val="21"/>
          <w:highlight w:val="none"/>
        </w:rPr>
        <w:t>量技术参数</w:t>
      </w:r>
      <w:r>
        <w:rPr>
          <w:rFonts w:ascii="宋体" w:hAnsi="宋体"/>
          <w:bCs/>
          <w:kern w:val="0"/>
          <w:szCs w:val="21"/>
          <w:highlight w:val="none"/>
        </w:rPr>
        <w:t>或</w:t>
      </w:r>
      <w:r>
        <w:rPr>
          <w:rFonts w:hint="eastAsia" w:ascii="宋体" w:hAnsi="宋体"/>
          <w:bCs/>
          <w:kern w:val="0"/>
          <w:szCs w:val="21"/>
          <w:highlight w:val="none"/>
        </w:rPr>
        <w:t>型号</w:t>
      </w:r>
      <w:r>
        <w:rPr>
          <w:rFonts w:ascii="宋体" w:hAnsi="宋体"/>
          <w:bCs/>
          <w:kern w:val="0"/>
          <w:szCs w:val="21"/>
          <w:highlight w:val="none"/>
        </w:rPr>
        <w:t>与某产品相同</w:t>
      </w:r>
      <w:r>
        <w:rPr>
          <w:rFonts w:hint="eastAsia" w:ascii="宋体" w:hAnsi="宋体"/>
          <w:bCs/>
          <w:kern w:val="0"/>
          <w:szCs w:val="21"/>
          <w:highlight w:val="none"/>
        </w:rPr>
        <w:t>时</w:t>
      </w:r>
      <w:r>
        <w:rPr>
          <w:rFonts w:ascii="宋体" w:hAnsi="宋体"/>
          <w:bCs/>
          <w:kern w:val="0"/>
          <w:szCs w:val="21"/>
          <w:highlight w:val="none"/>
        </w:rPr>
        <w:t>仅</w:t>
      </w:r>
      <w:r>
        <w:rPr>
          <w:rFonts w:hint="eastAsia" w:ascii="宋体" w:hAnsi="宋体"/>
          <w:bCs/>
          <w:kern w:val="0"/>
          <w:szCs w:val="21"/>
          <w:highlight w:val="none"/>
        </w:rPr>
        <w:t>作为</w:t>
      </w:r>
      <w:r>
        <w:rPr>
          <w:rFonts w:ascii="宋体" w:hAnsi="宋体"/>
          <w:bCs/>
          <w:kern w:val="0"/>
          <w:szCs w:val="21"/>
          <w:highlight w:val="none"/>
        </w:rPr>
        <w:t>投标人选择</w:t>
      </w:r>
      <w:r>
        <w:rPr>
          <w:rFonts w:hint="eastAsia" w:ascii="宋体" w:hAnsi="宋体"/>
          <w:bCs/>
          <w:kern w:val="0"/>
          <w:szCs w:val="21"/>
          <w:highlight w:val="none"/>
        </w:rPr>
        <w:t>投标产品</w:t>
      </w:r>
      <w:r>
        <w:rPr>
          <w:rFonts w:ascii="宋体" w:hAnsi="宋体"/>
          <w:bCs/>
          <w:kern w:val="0"/>
          <w:szCs w:val="21"/>
          <w:highlight w:val="none"/>
        </w:rPr>
        <w:t>时在质量水平上</w:t>
      </w:r>
      <w:r>
        <w:rPr>
          <w:rFonts w:hint="eastAsia" w:ascii="宋体" w:hAnsi="宋体"/>
          <w:bCs/>
          <w:kern w:val="0"/>
          <w:szCs w:val="21"/>
          <w:highlight w:val="none"/>
        </w:rPr>
        <w:t>的</w:t>
      </w:r>
      <w:r>
        <w:rPr>
          <w:rFonts w:ascii="宋体" w:hAnsi="宋体"/>
          <w:bCs/>
          <w:kern w:val="0"/>
          <w:szCs w:val="21"/>
          <w:highlight w:val="none"/>
        </w:rPr>
        <w:t>参考，不</w:t>
      </w:r>
      <w:r>
        <w:rPr>
          <w:rFonts w:hint="eastAsia" w:ascii="宋体" w:hAnsi="宋体"/>
          <w:bCs/>
          <w:kern w:val="0"/>
          <w:szCs w:val="21"/>
          <w:highlight w:val="none"/>
        </w:rPr>
        <w:t>强</w:t>
      </w:r>
      <w:r>
        <w:rPr>
          <w:rFonts w:ascii="宋体" w:hAnsi="宋体"/>
          <w:bCs/>
          <w:kern w:val="0"/>
          <w:szCs w:val="21"/>
          <w:highlight w:val="none"/>
        </w:rPr>
        <w:t>制</w:t>
      </w:r>
      <w:r>
        <w:rPr>
          <w:rFonts w:hint="eastAsia" w:ascii="宋体" w:hAnsi="宋体"/>
          <w:bCs/>
          <w:kern w:val="0"/>
          <w:szCs w:val="21"/>
          <w:highlight w:val="none"/>
        </w:rPr>
        <w:t>采购某一特定产品</w:t>
      </w:r>
      <w:r>
        <w:rPr>
          <w:rFonts w:ascii="宋体" w:hAnsi="宋体"/>
          <w:bCs/>
          <w:kern w:val="0"/>
          <w:szCs w:val="21"/>
          <w:highlight w:val="none"/>
        </w:rPr>
        <w:t>，投标人可提供</w:t>
      </w:r>
      <w:r>
        <w:rPr>
          <w:rFonts w:hint="eastAsia" w:ascii="宋体" w:hAnsi="宋体"/>
          <w:bCs/>
          <w:kern w:val="0"/>
          <w:szCs w:val="21"/>
          <w:highlight w:val="none"/>
        </w:rPr>
        <w:t>符合采购需求</w:t>
      </w:r>
      <w:r>
        <w:rPr>
          <w:rFonts w:ascii="宋体" w:hAnsi="宋体"/>
          <w:bCs/>
          <w:kern w:val="0"/>
          <w:szCs w:val="21"/>
          <w:highlight w:val="none"/>
        </w:rPr>
        <w:t>或</w:t>
      </w:r>
      <w:r>
        <w:rPr>
          <w:rFonts w:hint="eastAsia" w:ascii="宋体" w:hAnsi="宋体"/>
          <w:bCs/>
          <w:kern w:val="0"/>
          <w:szCs w:val="21"/>
          <w:highlight w:val="none"/>
        </w:rPr>
        <w:t>更</w:t>
      </w:r>
      <w:r>
        <w:rPr>
          <w:rFonts w:ascii="宋体" w:hAnsi="宋体"/>
          <w:bCs/>
          <w:kern w:val="0"/>
          <w:szCs w:val="21"/>
          <w:highlight w:val="none"/>
        </w:rPr>
        <w:t>优</w:t>
      </w:r>
      <w:r>
        <w:rPr>
          <w:rFonts w:hint="eastAsia" w:ascii="宋体" w:hAnsi="宋体"/>
          <w:bCs/>
          <w:kern w:val="0"/>
          <w:szCs w:val="21"/>
          <w:highlight w:val="none"/>
        </w:rPr>
        <w:t>的产品及</w:t>
      </w:r>
      <w:r>
        <w:rPr>
          <w:rFonts w:ascii="宋体" w:hAnsi="宋体"/>
          <w:bCs/>
          <w:kern w:val="0"/>
          <w:szCs w:val="21"/>
          <w:highlight w:val="none"/>
        </w:rPr>
        <w:t>方案</w:t>
      </w:r>
      <w:r>
        <w:rPr>
          <w:rFonts w:ascii="宋体" w:hAnsi="宋体"/>
          <w:kern w:val="0"/>
          <w:szCs w:val="21"/>
          <w:highlight w:val="none"/>
        </w:rPr>
        <w:t>。</w:t>
      </w:r>
    </w:p>
    <w:p>
      <w:pPr>
        <w:widowControl/>
        <w:numPr>
          <w:ilvl w:val="2"/>
          <w:numId w:val="2"/>
        </w:numPr>
        <w:adjustRightInd w:val="0"/>
        <w:snapToGrid w:val="0"/>
        <w:spacing w:line="480" w:lineRule="exact"/>
        <w:ind w:firstLine="480" w:firstLineChars="200"/>
        <w:jc w:val="left"/>
        <w:rPr>
          <w:rFonts w:hint="eastAsia" w:ascii="宋体" w:hAnsi="宋体"/>
          <w:kern w:val="0"/>
          <w:szCs w:val="21"/>
          <w:highlight w:val="none"/>
        </w:rPr>
      </w:pPr>
      <w:r>
        <w:rPr>
          <w:rFonts w:hint="eastAsia" w:ascii="宋体" w:hAnsi="宋体"/>
          <w:kern w:val="0"/>
          <w:szCs w:val="21"/>
          <w:highlight w:val="none"/>
        </w:rPr>
        <w:t>本次采购内容如果要求的某些技术标</w:t>
      </w:r>
      <w:bookmarkStart w:id="2" w:name="_GoBack"/>
      <w:bookmarkEnd w:id="2"/>
      <w:r>
        <w:rPr>
          <w:rFonts w:hint="eastAsia" w:ascii="宋体" w:hAnsi="宋体"/>
          <w:kern w:val="0"/>
          <w:szCs w:val="21"/>
          <w:highlight w:val="none"/>
        </w:rPr>
        <w:t>准低于国家标准，均以最新的国家标准为准。招标技术要求中未明确的技术标准也均不得低于国家标准；</w:t>
      </w:r>
    </w:p>
    <w:p>
      <w:pPr>
        <w:widowControl/>
        <w:numPr>
          <w:ilvl w:val="2"/>
          <w:numId w:val="2"/>
        </w:numPr>
        <w:adjustRightInd w:val="0"/>
        <w:snapToGrid w:val="0"/>
        <w:spacing w:line="480" w:lineRule="exact"/>
        <w:ind w:firstLine="480" w:firstLineChars="200"/>
        <w:jc w:val="left"/>
        <w:rPr>
          <w:rFonts w:hint="eastAsia" w:ascii="宋体" w:hAnsi="宋体"/>
          <w:kern w:val="0"/>
          <w:szCs w:val="21"/>
          <w:highlight w:val="none"/>
        </w:rPr>
      </w:pPr>
      <w:r>
        <w:rPr>
          <w:rFonts w:ascii="宋体" w:hAnsi="宋体"/>
          <w:kern w:val="0"/>
          <w:szCs w:val="21"/>
          <w:highlight w:val="none"/>
        </w:rPr>
        <w:t>本采购项目为交钥匙项目，</w:t>
      </w:r>
      <w:r>
        <w:rPr>
          <w:rFonts w:hint="eastAsia" w:ascii="宋体" w:hAnsi="宋体"/>
          <w:kern w:val="0"/>
          <w:szCs w:val="21"/>
          <w:highlight w:val="none"/>
        </w:rPr>
        <w:t>验收合格前</w:t>
      </w:r>
      <w:r>
        <w:rPr>
          <w:rFonts w:ascii="宋体" w:hAnsi="宋体"/>
          <w:kern w:val="0"/>
          <w:szCs w:val="21"/>
          <w:highlight w:val="none"/>
        </w:rPr>
        <w:t>所需的一切费用</w:t>
      </w:r>
      <w:r>
        <w:rPr>
          <w:rFonts w:hint="eastAsia" w:ascii="宋体" w:hAnsi="宋体"/>
          <w:kern w:val="0"/>
          <w:szCs w:val="21"/>
          <w:highlight w:val="none"/>
        </w:rPr>
        <w:t>均</w:t>
      </w:r>
      <w:r>
        <w:rPr>
          <w:rFonts w:ascii="宋体" w:hAnsi="宋体"/>
          <w:kern w:val="0"/>
          <w:szCs w:val="21"/>
          <w:highlight w:val="none"/>
        </w:rPr>
        <w:t>包含在报价之中，采购人不</w:t>
      </w:r>
      <w:r>
        <w:rPr>
          <w:rFonts w:hint="eastAsia" w:ascii="宋体" w:hAnsi="宋体"/>
          <w:kern w:val="0"/>
          <w:szCs w:val="21"/>
          <w:highlight w:val="none"/>
        </w:rPr>
        <w:t>承担成交价格以外的</w:t>
      </w:r>
      <w:r>
        <w:rPr>
          <w:rFonts w:ascii="宋体" w:hAnsi="宋体"/>
          <w:kern w:val="0"/>
          <w:szCs w:val="21"/>
          <w:highlight w:val="none"/>
        </w:rPr>
        <w:t>任何费用。</w:t>
      </w:r>
    </w:p>
    <w:p>
      <w:pPr>
        <w:pStyle w:val="2"/>
        <w:ind w:left="0" w:leftChars="0" w:firstLine="422" w:firstLineChars="175"/>
        <w:rPr>
          <w:rFonts w:hint="eastAsia"/>
          <w:highlight w:val="none"/>
        </w:rPr>
      </w:pPr>
      <w:r>
        <w:rPr>
          <w:rFonts w:hint="eastAsia"/>
          <w:b/>
          <w:bCs/>
          <w:highlight w:val="none"/>
          <w:lang w:val="en-US" w:eastAsia="zh-CN"/>
        </w:rPr>
        <w:t>本次项目所属行业：</w:t>
      </w:r>
      <w:r>
        <w:rPr>
          <w:rFonts w:hint="eastAsia"/>
          <w:b/>
          <w:bCs/>
          <w:highlight w:val="none"/>
          <w:u w:val="none"/>
          <w:lang w:val="en-US" w:eastAsia="zh-CN"/>
        </w:rPr>
        <w:t>其他未列明行业。</w:t>
      </w:r>
    </w:p>
    <w:p>
      <w:pPr>
        <w:widowControl/>
        <w:numPr>
          <w:ilvl w:val="3"/>
          <w:numId w:val="1"/>
        </w:numPr>
        <w:adjustRightInd w:val="0"/>
        <w:snapToGrid w:val="0"/>
        <w:spacing w:line="480" w:lineRule="exact"/>
        <w:rPr>
          <w:rFonts w:hint="eastAsia" w:ascii="宋体" w:hAnsi="宋体"/>
          <w:b/>
          <w:kern w:val="0"/>
          <w:sz w:val="32"/>
          <w:szCs w:val="32"/>
          <w:highlight w:val="none"/>
        </w:rPr>
      </w:pPr>
      <w:r>
        <w:rPr>
          <w:rFonts w:hint="eastAsia" w:ascii="宋体" w:hAnsi="宋体"/>
          <w:b/>
          <w:kern w:val="0"/>
          <w:sz w:val="32"/>
          <w:szCs w:val="32"/>
          <w:highlight w:val="none"/>
        </w:rPr>
        <w:t xml:space="preserve">商务要求： </w:t>
      </w:r>
    </w:p>
    <w:p>
      <w:pPr>
        <w:widowControl/>
        <w:numPr>
          <w:ilvl w:val="0"/>
          <w:numId w:val="0"/>
        </w:numPr>
        <w:adjustRightInd w:val="0"/>
        <w:snapToGrid w:val="0"/>
        <w:spacing w:line="480" w:lineRule="exact"/>
        <w:ind w:leftChars="200"/>
        <w:jc w:val="left"/>
        <w:rPr>
          <w:rFonts w:ascii="宋体" w:hAnsi="宋体" w:eastAsia="宋体"/>
          <w:kern w:val="0"/>
          <w:szCs w:val="21"/>
          <w:highlight w:val="none"/>
        </w:rPr>
      </w:pPr>
      <w:r>
        <w:rPr>
          <w:rFonts w:hint="eastAsia" w:ascii="宋体" w:hAnsi="宋体" w:eastAsia="宋体"/>
          <w:kern w:val="0"/>
          <w:szCs w:val="21"/>
          <w:highlight w:val="none"/>
        </w:rPr>
        <w:t>1.合同履行期限：</w:t>
      </w:r>
      <w:r>
        <w:rPr>
          <w:rFonts w:hint="eastAsia" w:ascii="宋体" w:hAnsi="宋体" w:eastAsia="宋体"/>
          <w:kern w:val="0"/>
          <w:szCs w:val="21"/>
          <w:highlight w:val="none"/>
          <w:lang w:eastAsia="zh-CN"/>
        </w:rPr>
        <w:t>210日历天</w:t>
      </w:r>
      <w:r>
        <w:rPr>
          <w:rFonts w:hint="eastAsia" w:ascii="宋体" w:hAnsi="宋体" w:eastAsia="宋体"/>
          <w:kern w:val="0"/>
          <w:szCs w:val="21"/>
          <w:highlight w:val="none"/>
        </w:rPr>
        <w:t>。</w:t>
      </w:r>
    </w:p>
    <w:p>
      <w:pPr>
        <w:widowControl/>
        <w:numPr>
          <w:ilvl w:val="0"/>
          <w:numId w:val="0"/>
        </w:numPr>
        <w:adjustRightInd w:val="0"/>
        <w:snapToGrid w:val="0"/>
        <w:spacing w:line="480" w:lineRule="exact"/>
        <w:ind w:leftChars="200"/>
        <w:jc w:val="left"/>
        <w:rPr>
          <w:rFonts w:hint="eastAsia" w:ascii="宋体" w:hAnsi="宋体" w:eastAsia="宋体"/>
          <w:kern w:val="0"/>
          <w:szCs w:val="21"/>
          <w:highlight w:val="none"/>
        </w:rPr>
      </w:pPr>
      <w:r>
        <w:rPr>
          <w:rFonts w:hint="eastAsia" w:ascii="宋体" w:hAnsi="宋体" w:eastAsia="宋体"/>
          <w:kern w:val="0"/>
          <w:szCs w:val="21"/>
          <w:highlight w:val="none"/>
        </w:rPr>
        <w:t>2.服务地点：武陟县区域内。</w:t>
      </w:r>
    </w:p>
    <w:p>
      <w:pPr>
        <w:widowControl/>
        <w:numPr>
          <w:ilvl w:val="0"/>
          <w:numId w:val="0"/>
        </w:numPr>
        <w:adjustRightInd w:val="0"/>
        <w:snapToGrid w:val="0"/>
        <w:spacing w:line="480" w:lineRule="exact"/>
        <w:ind w:leftChars="200"/>
        <w:jc w:val="left"/>
        <w:rPr>
          <w:rFonts w:hint="eastAsia" w:ascii="宋体" w:hAnsi="宋体" w:eastAsia="宋体"/>
          <w:kern w:val="0"/>
          <w:szCs w:val="21"/>
          <w:highlight w:val="none"/>
        </w:rPr>
      </w:pPr>
      <w:r>
        <w:rPr>
          <w:rFonts w:hint="eastAsia" w:ascii="宋体" w:hAnsi="宋体" w:eastAsia="宋体"/>
          <w:kern w:val="0"/>
          <w:szCs w:val="21"/>
          <w:highlight w:val="none"/>
        </w:rPr>
        <w:t>3.质量要求：合格并通过相关部门组织的评审。</w:t>
      </w:r>
    </w:p>
    <w:p>
      <w:pPr>
        <w:widowControl/>
        <w:numPr>
          <w:ilvl w:val="2"/>
          <w:numId w:val="2"/>
        </w:numPr>
        <w:adjustRightInd w:val="0"/>
        <w:snapToGrid w:val="0"/>
        <w:spacing w:line="480" w:lineRule="exact"/>
        <w:ind w:firstLine="480" w:firstLineChars="200"/>
        <w:jc w:val="left"/>
        <w:rPr>
          <w:rFonts w:hint="eastAsia" w:ascii="宋体" w:hAnsi="宋体" w:eastAsia="宋体"/>
          <w:kern w:val="0"/>
          <w:szCs w:val="21"/>
          <w:highlight w:val="none"/>
        </w:rPr>
      </w:pPr>
      <w:r>
        <w:rPr>
          <w:rFonts w:hint="eastAsia" w:ascii="宋体" w:hAnsi="宋体" w:eastAsia="宋体"/>
          <w:kern w:val="0"/>
          <w:szCs w:val="21"/>
          <w:highlight w:val="none"/>
        </w:rPr>
        <w:t>付款方式：</w:t>
      </w:r>
      <w:r>
        <w:rPr>
          <w:rFonts w:hint="eastAsia" w:ascii="宋体" w:hAnsi="宋体"/>
          <w:szCs w:val="21"/>
          <w:highlight w:val="none"/>
        </w:rPr>
        <w:t>项目总进度完成50%后支付合同总价款的</w:t>
      </w:r>
      <w:r>
        <w:rPr>
          <w:rFonts w:hint="eastAsia" w:ascii="宋体" w:hAnsi="宋体"/>
          <w:szCs w:val="21"/>
          <w:highlight w:val="none"/>
          <w:lang w:val="en-US" w:eastAsia="zh-CN"/>
        </w:rPr>
        <w:t>30</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szCs w:val="21"/>
          <w:highlight w:val="none"/>
        </w:rPr>
        <w:t>项目总进度完成</w:t>
      </w:r>
      <w:r>
        <w:rPr>
          <w:rFonts w:hint="eastAsia" w:ascii="宋体" w:hAnsi="宋体"/>
          <w:szCs w:val="21"/>
          <w:highlight w:val="none"/>
          <w:lang w:val="en-US" w:eastAsia="zh-CN"/>
        </w:rPr>
        <w:t>8</w:t>
      </w:r>
      <w:r>
        <w:rPr>
          <w:rFonts w:hint="eastAsia" w:ascii="宋体" w:hAnsi="宋体"/>
          <w:szCs w:val="21"/>
          <w:highlight w:val="none"/>
        </w:rPr>
        <w:t>0%后</w:t>
      </w:r>
      <w:r>
        <w:rPr>
          <w:rFonts w:hint="eastAsia" w:ascii="宋体" w:hAnsi="宋体"/>
          <w:szCs w:val="21"/>
          <w:highlight w:val="none"/>
          <w:lang w:eastAsia="zh-CN"/>
        </w:rPr>
        <w:t>，</w:t>
      </w:r>
      <w:r>
        <w:rPr>
          <w:rFonts w:hint="eastAsia" w:ascii="宋体" w:hAnsi="宋体"/>
          <w:szCs w:val="21"/>
          <w:highlight w:val="none"/>
        </w:rPr>
        <w:t>支付至合同总价款的</w:t>
      </w:r>
      <w:r>
        <w:rPr>
          <w:rFonts w:hint="eastAsia" w:ascii="宋体" w:hAnsi="宋体"/>
          <w:szCs w:val="21"/>
          <w:highlight w:val="none"/>
          <w:lang w:val="en-US" w:eastAsia="zh-CN"/>
        </w:rPr>
        <w:t>50</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eastAsia="宋体"/>
          <w:kern w:val="0"/>
          <w:szCs w:val="21"/>
          <w:highlight w:val="none"/>
        </w:rPr>
        <w:t>提交最终规划成果后</w:t>
      </w:r>
      <w:r>
        <w:rPr>
          <w:rFonts w:hint="eastAsia" w:ascii="宋体" w:hAnsi="宋体"/>
          <w:szCs w:val="21"/>
          <w:highlight w:val="none"/>
        </w:rPr>
        <w:t>支付</w:t>
      </w:r>
      <w:r>
        <w:rPr>
          <w:rFonts w:hint="eastAsia" w:ascii="宋体" w:hAnsi="宋体"/>
          <w:szCs w:val="21"/>
          <w:highlight w:val="none"/>
          <w:lang w:eastAsia="zh-CN"/>
        </w:rPr>
        <w:t>剩余款项</w:t>
      </w:r>
      <w:r>
        <w:rPr>
          <w:rFonts w:hint="eastAsia" w:ascii="宋体" w:hAnsi="宋体" w:eastAsia="宋体"/>
          <w:kern w:val="0"/>
          <w:szCs w:val="21"/>
          <w:highlight w:val="none"/>
        </w:rPr>
        <w:t>。</w:t>
      </w:r>
    </w:p>
    <w:p>
      <w:pPr>
        <w:widowControl/>
        <w:numPr>
          <w:ilvl w:val="3"/>
          <w:numId w:val="1"/>
        </w:numPr>
        <w:adjustRightInd w:val="0"/>
        <w:snapToGrid w:val="0"/>
        <w:spacing w:line="360" w:lineRule="auto"/>
        <w:rPr>
          <w:rFonts w:hint="eastAsia" w:ascii="宋体" w:hAnsi="宋体"/>
          <w:b/>
          <w:color w:val="000000"/>
          <w:kern w:val="0"/>
          <w:sz w:val="28"/>
          <w:szCs w:val="28"/>
          <w:highlight w:val="none"/>
        </w:rPr>
      </w:pPr>
      <w:r>
        <w:rPr>
          <w:rFonts w:hint="eastAsia" w:ascii="宋体" w:hAnsi="宋体"/>
          <w:b/>
          <w:color w:val="000000"/>
          <w:kern w:val="0"/>
          <w:sz w:val="28"/>
          <w:szCs w:val="28"/>
          <w:highlight w:val="none"/>
        </w:rPr>
        <w:t>服务要求</w:t>
      </w:r>
    </w:p>
    <w:p>
      <w:pPr>
        <w:widowControl/>
        <w:adjustRightInd w:val="0"/>
        <w:snapToGrid w:val="0"/>
        <w:spacing w:line="360" w:lineRule="auto"/>
        <w:ind w:left="5" w:firstLine="480" w:firstLineChars="200"/>
        <w:jc w:val="left"/>
        <w:rPr>
          <w:rFonts w:hint="eastAsia" w:ascii="宋体" w:hAnsi="宋体"/>
          <w:color w:val="auto"/>
          <w:kern w:val="0"/>
          <w:szCs w:val="21"/>
          <w:highlight w:val="none"/>
        </w:rPr>
      </w:pPr>
      <w:r>
        <w:rPr>
          <w:rFonts w:hint="eastAsia" w:ascii="宋体" w:hAnsi="宋体"/>
          <w:color w:val="000000"/>
          <w:kern w:val="0"/>
          <w:szCs w:val="21"/>
          <w:highlight w:val="none"/>
        </w:rPr>
        <w:t>本次规划内容及深度依据《河南省自然资源厅 中共河南省委农村工作领导小组办公室关于印发&lt;2020年全省村庄规划工作意见&gt;的通知》、《焦作市自然资源和规划局关于推进焦作市乡村规划工作的实施方案》（焦自然资办【2020】19号）、</w:t>
      </w:r>
      <w:r>
        <w:rPr>
          <w:rFonts w:hint="eastAsia" w:ascii="宋体" w:hAnsi="宋体"/>
          <w:color w:val="auto"/>
          <w:kern w:val="0"/>
          <w:szCs w:val="21"/>
          <w:highlight w:val="none"/>
        </w:rPr>
        <w:t>豫政〔2021〕4号 《河南省农村宅基地和村民自建住房管理办法》等文件精神，按照《河南省村庄规划导则》要求，统筹考虑土地利用、产业发展、居民点布局、人居环境整治、生态保护和历史文化传承，有序推进</w:t>
      </w:r>
      <w:r>
        <w:rPr>
          <w:rFonts w:hint="eastAsia" w:ascii="宋体" w:hAnsi="宋体"/>
          <w:highlight w:val="none"/>
          <w:lang w:eastAsia="zh-CN"/>
        </w:rPr>
        <w:t>“多规合一”</w:t>
      </w:r>
      <w:r>
        <w:rPr>
          <w:rFonts w:hint="eastAsia" w:ascii="宋体" w:hAnsi="宋体"/>
          <w:color w:val="auto"/>
          <w:kern w:val="0"/>
          <w:szCs w:val="21"/>
          <w:highlight w:val="none"/>
        </w:rPr>
        <w:t>的实用性村庄规划编制，</w:t>
      </w:r>
      <w:r>
        <w:rPr>
          <w:rFonts w:hint="eastAsia" w:ascii="宋体" w:hAnsi="宋体" w:cs="宋体"/>
          <w:color w:val="auto"/>
          <w:sz w:val="24"/>
          <w:highlight w:val="none"/>
        </w:rPr>
        <w:t>根据武陟县村庄布局规划成果，编制武陟县县域范围内</w:t>
      </w:r>
      <w:r>
        <w:rPr>
          <w:rFonts w:hint="eastAsia" w:ascii="宋体" w:hAnsi="宋体"/>
          <w:highlight w:val="none"/>
          <w:lang w:eastAsia="zh-CN"/>
        </w:rPr>
        <w:t>约</w:t>
      </w:r>
      <w:r>
        <w:rPr>
          <w:rFonts w:hint="eastAsia" w:ascii="宋体" w:hAnsi="宋体"/>
          <w:highlight w:val="none"/>
          <w:lang w:val="en-US" w:eastAsia="zh-CN"/>
        </w:rPr>
        <w:t>290个村庄</w:t>
      </w:r>
      <w:r>
        <w:rPr>
          <w:rFonts w:hint="eastAsia" w:ascii="宋体" w:hAnsi="宋体"/>
          <w:highlight w:val="none"/>
          <w:lang w:eastAsia="zh-CN"/>
        </w:rPr>
        <w:t>“多规合一”</w:t>
      </w:r>
      <w:r>
        <w:rPr>
          <w:rFonts w:hint="eastAsia" w:ascii="宋体" w:hAnsi="宋体" w:cs="宋体"/>
          <w:color w:val="auto"/>
          <w:sz w:val="24"/>
          <w:highlight w:val="none"/>
        </w:rPr>
        <w:t>实用性村庄规划。规划期限内乙方需按照甲方需求完成调整完善工作。</w:t>
      </w:r>
    </w:p>
    <w:p>
      <w:pPr>
        <w:widowControl/>
        <w:adjustRightInd w:val="0"/>
        <w:snapToGrid w:val="0"/>
        <w:spacing w:line="360" w:lineRule="auto"/>
        <w:ind w:left="480" w:leftChars="200"/>
        <w:jc w:val="left"/>
        <w:rPr>
          <w:rFonts w:hint="eastAsia" w:ascii="宋体" w:hAnsi="宋体"/>
          <w:b/>
          <w:bCs/>
          <w:color w:val="000000"/>
          <w:kern w:val="0"/>
          <w:szCs w:val="21"/>
          <w:highlight w:val="none"/>
        </w:rPr>
      </w:pPr>
      <w:r>
        <w:rPr>
          <w:rFonts w:hint="eastAsia" w:ascii="宋体" w:hAnsi="宋体"/>
          <w:b/>
          <w:bCs/>
          <w:color w:val="000000"/>
          <w:kern w:val="0"/>
          <w:szCs w:val="21"/>
          <w:highlight w:val="none"/>
        </w:rPr>
        <w:t>规划主要内容：</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（一）村域空间布局规划</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落实上位国土空间规划中确定的空间分区分类管控要求，统筹安排生态、农业和建设空间。允许在不改变县级国土空间规划主要控制指标情况下，优化调整村庄各类用地布局。村域空间布局规划严格按国家有关规定执行。</w:t>
      </w:r>
    </w:p>
    <w:p>
      <w:pPr>
        <w:widowControl/>
        <w:adjustRightInd w:val="0"/>
        <w:snapToGrid w:val="0"/>
        <w:spacing w:line="360" w:lineRule="auto"/>
        <w:ind w:left="480" w:leftChars="200"/>
        <w:jc w:val="left"/>
        <w:rPr>
          <w:rFonts w:hint="eastAsia" w:ascii="宋体" w:hAnsi="宋体"/>
          <w:color w:val="000000"/>
          <w:kern w:val="0"/>
          <w:szCs w:val="21"/>
          <w:highlight w:val="none"/>
        </w:rPr>
      </w:pPr>
      <w:r>
        <w:rPr>
          <w:rFonts w:hint="eastAsia" w:ascii="宋体" w:hAnsi="宋体"/>
          <w:color w:val="000000"/>
          <w:kern w:val="0"/>
          <w:szCs w:val="21"/>
          <w:highlight w:val="none"/>
        </w:rPr>
        <w:t>（二）生态修复与国土综合整治</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按照“山水林田湖草”系统修复治理要求，落实生态保护红线，明确森林、河湖等生态空间，尽可能多的保留乡村原有地貌、自然地形等，系统保护好乡村自然风光和田园景观，提出生态环境系统修复和整治措施，慎砍树、禁挖山、不填湖，优化乡村水系、林网、绿道等生态空间格局。合理制定全域国土综合整治、高标准农田建设、城乡建设用地增减挂钩、空心村整治、工矿废弃地复垦利用、退耕还林还草、污染地块治理等方案，统筹安排村容村貌整治、农村生活垃圾污水治理等项目实施的布局和时序。</w:t>
      </w:r>
    </w:p>
    <w:p>
      <w:pPr>
        <w:widowControl/>
        <w:adjustRightInd w:val="0"/>
        <w:snapToGrid w:val="0"/>
        <w:spacing w:line="360" w:lineRule="auto"/>
        <w:ind w:left="480" w:leftChars="200"/>
        <w:jc w:val="left"/>
        <w:rPr>
          <w:rFonts w:ascii="宋体" w:hAnsi="宋体"/>
          <w:color w:val="000000"/>
          <w:kern w:val="0"/>
          <w:szCs w:val="21"/>
          <w:highlight w:val="none"/>
        </w:rPr>
      </w:pPr>
      <w:r>
        <w:rPr>
          <w:rFonts w:hint="eastAsia" w:ascii="宋体" w:hAnsi="宋体"/>
          <w:color w:val="000000"/>
          <w:kern w:val="0"/>
          <w:szCs w:val="21"/>
          <w:highlight w:val="none"/>
        </w:rPr>
        <w:t>（三）耕地与基本农田保护</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落实永久基本农田和永久基本农田储备区划定成果，进一步明确保护要求和管控措施。对永久基本农田图斑内存在的非农建设用地或者其他零星农用地，在村庄规划中优先进行整理、复垦，划为永久基本农田储备区。统筹优化农、林、牧、副、渔等农业发展空间布局，完善农田水利配套设施，保障设施农业和农业产业园空间，促进农业现代化发展。</w:t>
      </w:r>
    </w:p>
    <w:p>
      <w:pPr>
        <w:widowControl/>
        <w:adjustRightInd w:val="0"/>
        <w:snapToGrid w:val="0"/>
        <w:spacing w:line="360" w:lineRule="auto"/>
        <w:ind w:left="480" w:leftChars="200"/>
        <w:jc w:val="left"/>
        <w:rPr>
          <w:rFonts w:hint="eastAsia" w:ascii="宋体" w:hAnsi="宋体"/>
          <w:color w:val="000000"/>
          <w:kern w:val="0"/>
          <w:szCs w:val="21"/>
          <w:highlight w:val="none"/>
        </w:rPr>
      </w:pPr>
      <w:r>
        <w:rPr>
          <w:rFonts w:hint="eastAsia" w:ascii="宋体" w:hAnsi="宋体"/>
          <w:color w:val="000000"/>
          <w:kern w:val="0"/>
          <w:szCs w:val="21"/>
          <w:highlight w:val="none"/>
        </w:rPr>
        <w:t>（四）产业发展布局</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对接区域产业发展规划，结合村庄自然资源禀赋，按照村庄一二三产业融合发展的原则，提出村庄产业发展路径，合理布局农村新产业新业态发展用地，明确产业用地的用途、强度等要求，鼓励产业空间复合高效利用。除少量必需的农产品生产加工外，一般不在农村地区安排新增工业用地。</w:t>
      </w:r>
    </w:p>
    <w:p>
      <w:pPr>
        <w:widowControl/>
        <w:adjustRightInd w:val="0"/>
        <w:snapToGrid w:val="0"/>
        <w:spacing w:line="360" w:lineRule="auto"/>
        <w:ind w:left="480" w:leftChars="200"/>
        <w:jc w:val="left"/>
        <w:rPr>
          <w:rFonts w:hint="eastAsia" w:ascii="宋体" w:hAnsi="宋体"/>
          <w:color w:val="000000"/>
          <w:kern w:val="0"/>
          <w:szCs w:val="21"/>
          <w:highlight w:val="none"/>
        </w:rPr>
      </w:pPr>
      <w:r>
        <w:rPr>
          <w:rFonts w:hint="eastAsia" w:ascii="宋体" w:hAnsi="宋体"/>
          <w:color w:val="000000"/>
          <w:kern w:val="0"/>
          <w:szCs w:val="21"/>
          <w:highlight w:val="none"/>
        </w:rPr>
        <w:t>（五）村庄居民点布局</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宅基地总量确定应严格执行“一户一宅”政策，一户村民只能拥有一处宅基地，并按照城镇郊区和人均耕地少于一亩的平原地区，每户宅基地面积不得超过两分；人均耕地一亩以上的平原地区，每户宅基地面积不得超过两分半；山区、丘陵区每户宅基地面积不得超过三分</w:t>
      </w:r>
      <w:r>
        <w:rPr>
          <w:rFonts w:hint="eastAsia" w:ascii="宋体" w:hAnsi="宋体"/>
          <w:color w:val="000000"/>
          <w:kern w:val="0"/>
          <w:szCs w:val="21"/>
          <w:highlight w:val="none"/>
        </w:rPr>
        <w:fldChar w:fldCharType="begin"/>
      </w:r>
      <w:r>
        <w:rPr>
          <w:rFonts w:hint="eastAsia" w:ascii="宋体" w:hAnsi="宋体"/>
          <w:color w:val="000000"/>
          <w:kern w:val="0"/>
          <w:szCs w:val="21"/>
          <w:highlight w:val="none"/>
        </w:rPr>
        <w:instrText xml:space="preserve"> = 1 \* GB3 </w:instrText>
      </w:r>
      <w:r>
        <w:rPr>
          <w:rFonts w:hint="eastAsia" w:ascii="宋体" w:hAnsi="宋体"/>
          <w:color w:val="000000"/>
          <w:kern w:val="0"/>
          <w:szCs w:val="21"/>
          <w:highlight w:val="none"/>
        </w:rPr>
        <w:fldChar w:fldCharType="separate"/>
      </w:r>
      <w:r>
        <w:rPr>
          <w:rFonts w:hint="eastAsia" w:ascii="宋体" w:hAnsi="宋体"/>
          <w:color w:val="000000"/>
          <w:kern w:val="0"/>
          <w:szCs w:val="21"/>
          <w:highlight w:val="none"/>
        </w:rPr>
        <w:t>①</w:t>
      </w:r>
      <w:r>
        <w:rPr>
          <w:rFonts w:hint="eastAsia" w:ascii="宋体" w:hAnsi="宋体"/>
          <w:color w:val="000000"/>
          <w:kern w:val="0"/>
          <w:szCs w:val="21"/>
          <w:highlight w:val="none"/>
        </w:rPr>
        <w:fldChar w:fldCharType="end"/>
      </w:r>
      <w:r>
        <w:rPr>
          <w:rFonts w:hint="eastAsia" w:ascii="宋体" w:hAnsi="宋体"/>
          <w:color w:val="000000"/>
          <w:kern w:val="0"/>
          <w:szCs w:val="21"/>
          <w:highlight w:val="none"/>
        </w:rPr>
        <w:t>的标准，合理确定宅基地规模。</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1、总平面布局。结合村庄地形地貌、居住习惯、地域文化、村庄建设脉络和街巷格局等，合理确定村庄总平面布局；提出公共空间的布局和建设要求；明确村庄内外部道路的建设标准和断面形式。村庄居民点建设应避开地质灾害隐患点、避让区，退让铁路、高压走廊、国道、省道、县道、河流渠道水体等设施的距离应符合相关规定的要求，避免“沿路跑”等现象。</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2、建筑方案设计。确定村庄居民点建筑群的总体风貌定位，提出公共建筑设计方案、农房建筑设计方案及其组合方式，以及新建建筑的风格、色彩、选材要求，突出地方文化特色；明确现有建筑的整治方案和改造措施。每个村庄提供不少于三种户型的村民住宅设计方案。</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3、空间景观设计。提出村庄居民点建设融入周边生态环境的具体措施；明确路灯、垃圾箱等街道设施、环境设施的设计和建设要求；提出村口、绿地、广场、路侧、宅间、庭院等地段的绿化美化要求，突出生态型绿化和农业生产性景观特征。</w:t>
      </w:r>
    </w:p>
    <w:p>
      <w:pPr>
        <w:widowControl/>
        <w:adjustRightInd w:val="0"/>
        <w:snapToGrid w:val="0"/>
        <w:spacing w:line="360" w:lineRule="auto"/>
        <w:ind w:left="480" w:leftChars="200"/>
        <w:jc w:val="left"/>
        <w:rPr>
          <w:rFonts w:ascii="宋体" w:hAnsi="宋体"/>
          <w:color w:val="000000"/>
          <w:kern w:val="0"/>
          <w:szCs w:val="21"/>
          <w:highlight w:val="none"/>
        </w:rPr>
      </w:pPr>
      <w:r>
        <w:rPr>
          <w:rFonts w:hint="eastAsia" w:ascii="宋体" w:hAnsi="宋体"/>
          <w:color w:val="000000"/>
          <w:kern w:val="0"/>
          <w:szCs w:val="21"/>
          <w:highlight w:val="none"/>
        </w:rPr>
        <w:t>（六）基础设施和公共服务设施规划</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1、基础设施规划</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1）道路交通规划。落实上位规划确定的区域性道路、交通设施建设及相关防护要求；结合地形地貌、村庄规模、村庄形态、河流走向，确定村域生产和生活道路的走向、宽度及建设标准。合理设置公交站场、公共停车场等交通设施，明确其规模与布局。有旅游等功能的村庄应结合旅游线路规划公共停车场。有大型农机具集中停放需求的村庄，应结合农业设施用地进行布置。</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（2）供水工程规划。预测村庄供水量，确定村庄供水水源、供水方式、供水规模、供水管径及供水管网敷设方案。</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3）排水工程规划。村庄污水收集与处理遵循就近原则，靠近城区、镇区的村庄生活污水宜优先纳入集中处理系统。难以纳入集中污水处理系统的村庄，优先采取生态处理方式。雨水应充分利用地表径流和沟渠就近排放。</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（4）电力通信工程规划。预测村庄用电负荷和通信需求，合理确定电力、通信设施的建设标准和敷设方式。</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（5）燃气设施规划。确定村庄气源，预测村庄燃气需求量，明确燃气调压设施位置及燃气管线走向。</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（6）环卫设施规划。预测垃圾产生量，合理确定生活垃圾收集和转运方式，确定垃圾收集点和转运站的位置和规模；结合村庄发展规模和布局，明确公共厕所位置，根据“厕所革命”要求提出户厕的改造方案。</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2、公共服务设施规划</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依据村庄类型，围绕10分钟乡村生活圈，合理布置村庄公共管理、文体教育、医疗卫生、社会福利和商业服务等公共服务设施，明确设施的位置和规模。公共服务设施的建设应符合当地村民的生产生活习惯，突出地域乡土风貌特色。</w:t>
      </w:r>
    </w:p>
    <w:p>
      <w:pPr>
        <w:widowControl/>
        <w:adjustRightInd w:val="0"/>
        <w:snapToGrid w:val="0"/>
        <w:spacing w:line="360" w:lineRule="auto"/>
        <w:ind w:left="480" w:leftChars="200"/>
        <w:jc w:val="left"/>
        <w:rPr>
          <w:rFonts w:hint="eastAsia" w:ascii="宋体" w:hAnsi="宋体"/>
          <w:color w:val="000000"/>
          <w:kern w:val="0"/>
          <w:szCs w:val="21"/>
          <w:highlight w:val="none"/>
        </w:rPr>
      </w:pPr>
      <w:r>
        <w:rPr>
          <w:rFonts w:hint="eastAsia" w:ascii="宋体" w:hAnsi="宋体"/>
          <w:color w:val="000000"/>
          <w:kern w:val="0"/>
          <w:szCs w:val="21"/>
          <w:highlight w:val="none"/>
        </w:rPr>
        <w:t>（七）历史文化和特色风貌保护</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深入挖掘乡村历史文化资源，划定乡村历史文化保护线，提出历史文化景观整体保护措施，保护好历史遗存的真实性，避免大拆大建。</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1、历史文化保护和利用。历史文化名村、传统村落等特色村庄结合国家、省市相关要求，编制村庄保护规划。其他具有特色保护资源的非特色保护类村庄应提出历史文化和特色资源的保护原则、措施、名录以及修复方案。</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2、特色风貌塑造。传承村庄文化底蕴，保护山水格局，延续街巷肌理，保持乡土景观风貌。加强各类建设的风貌规划和引导，保护好村庄的特色风貌。结合地域特色，提出建筑、道路铺装、绿化、标识牌、坐凳、围墙、垃圾箱、公交牌、路灯等样式引导。不允许用城市设计手法设计农村。</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bookmarkStart w:id="1" w:name="_Toc12549439"/>
      <w:r>
        <w:rPr>
          <w:rFonts w:hint="eastAsia" w:ascii="宋体" w:hAnsi="宋体"/>
          <w:color w:val="000000"/>
          <w:kern w:val="0"/>
          <w:szCs w:val="21"/>
          <w:highlight w:val="none"/>
        </w:rPr>
        <w:t>（八）近期行动计划</w:t>
      </w:r>
      <w:bookmarkEnd w:id="1"/>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根据规划确定的目标任务，综合考虑人力、财力和村民的迫切需求，研究提出近期急需推进的村民建房、生态保护修复和综合整治、产业发展、道路交通建设、公共和基础设施配套、历史文化保护等项目，合理安排实施时序，制定近期建设项目表。重点围绕乡村振兴规划、人居环境整治三年行动计划，制定建设项目书，明确建设项目的规模、实施时间、资金规模和筹措方式、建设主体和方式等。</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注：上述规划内容在成果中可能会有部分调整，但需符合国家和河南省、焦作市等的相关要求。</w:t>
      </w:r>
    </w:p>
    <w:p>
      <w:pPr>
        <w:widowControl/>
        <w:numPr>
          <w:ilvl w:val="0"/>
          <w:numId w:val="3"/>
        </w:numPr>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规划成果由规划文本（包括说明书及基础资料汇编等）、图纸及全域国土整治试点项目实施方案等组成，规划文件纸质成果</w:t>
      </w:r>
      <w:r>
        <w:rPr>
          <w:rFonts w:hint="eastAsia" w:ascii="宋体" w:hAnsi="宋体"/>
          <w:color w:val="000000"/>
          <w:kern w:val="0"/>
          <w:szCs w:val="21"/>
          <w:highlight w:val="none"/>
          <w:u w:val="single"/>
        </w:rPr>
        <w:t>陆</w:t>
      </w:r>
      <w:r>
        <w:rPr>
          <w:rFonts w:hint="eastAsia" w:ascii="宋体" w:hAnsi="宋体"/>
          <w:color w:val="000000"/>
          <w:kern w:val="0"/>
          <w:szCs w:val="21"/>
          <w:highlight w:val="none"/>
        </w:rPr>
        <w:t>套，含有全部规划成果电子文档</w:t>
      </w:r>
      <w:r>
        <w:rPr>
          <w:rFonts w:hint="eastAsia" w:ascii="宋体" w:hAnsi="宋体"/>
          <w:color w:val="00B050"/>
          <w:kern w:val="0"/>
          <w:szCs w:val="21"/>
          <w:highlight w:val="none"/>
          <w:u w:val="single"/>
        </w:rPr>
        <w:t>壹</w:t>
      </w:r>
      <w:r>
        <w:rPr>
          <w:rFonts w:hint="eastAsia" w:ascii="宋体" w:hAnsi="宋体"/>
          <w:color w:val="000000"/>
          <w:kern w:val="0"/>
          <w:szCs w:val="21"/>
          <w:highlight w:val="none"/>
        </w:rPr>
        <w:t>套。</w:t>
      </w:r>
    </w:p>
    <w:p>
      <w:pPr>
        <w:widowControl/>
        <w:adjustRightInd w:val="0"/>
        <w:snapToGrid w:val="0"/>
        <w:spacing w:line="360" w:lineRule="auto"/>
        <w:jc w:val="left"/>
        <w:rPr>
          <w:rFonts w:hint="eastAsia" w:ascii="宋体" w:hAnsi="宋体"/>
          <w:b/>
          <w:bCs/>
          <w:color w:val="000000"/>
          <w:kern w:val="0"/>
          <w:szCs w:val="21"/>
          <w:highlight w:val="none"/>
        </w:rPr>
      </w:pPr>
      <w:r>
        <w:rPr>
          <w:rFonts w:hint="eastAsia" w:ascii="宋体" w:hAnsi="宋体"/>
          <w:b/>
          <w:bCs/>
          <w:color w:val="000000"/>
          <w:kern w:val="0"/>
          <w:szCs w:val="21"/>
          <w:highlight w:val="none"/>
        </w:rPr>
        <w:t xml:space="preserve">主要图纸：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 区位图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2. 村域土地利用现状图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3. 村域国土空间规划图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4. 村域空间结构规划图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5. 村域历史文化保护图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6. 村域防灾减灾规划图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7. 村域产业布局规划图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8. 公共服务设施规划图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9. 市政基础设施规划图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10. 村庄道路交通规划图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11. 村庄建设用地规划图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12. 村庄综合整治规划图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13. 近期建设规划图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14. 建筑风貌规划图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15. 新建住宅选型图 </w:t>
      </w:r>
    </w:p>
    <w:p>
      <w:pPr>
        <w:widowControl/>
        <w:adjustRightInd w:val="0"/>
        <w:snapToGrid w:val="0"/>
        <w:spacing w:line="360" w:lineRule="auto"/>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16. 效果图 </w:t>
      </w:r>
    </w:p>
    <w:p>
      <w:pPr>
        <w:widowControl/>
        <w:adjustRightInd w:val="0"/>
        <w:snapToGrid w:val="0"/>
        <w:spacing w:line="360" w:lineRule="auto"/>
        <w:ind w:firstLine="480" w:firstLineChars="200"/>
        <w:jc w:val="left"/>
        <w:rPr>
          <w:rFonts w:hint="eastAsia" w:ascii="宋体" w:hAnsi="宋体"/>
          <w:color w:val="00B050"/>
          <w:kern w:val="0"/>
          <w:szCs w:val="21"/>
          <w:highlight w:val="none"/>
        </w:rPr>
      </w:pPr>
      <w:r>
        <w:rPr>
          <w:rFonts w:hint="eastAsia" w:ascii="宋体" w:hAnsi="宋体"/>
          <w:color w:val="000000"/>
          <w:kern w:val="0"/>
          <w:szCs w:val="21"/>
          <w:highlight w:val="none"/>
        </w:rPr>
        <w:t>注：</w:t>
      </w:r>
      <w:r>
        <w:rPr>
          <w:rFonts w:hint="eastAsia" w:ascii="宋体" w:hAnsi="宋体"/>
          <w:color w:val="00B050"/>
          <w:kern w:val="0"/>
          <w:szCs w:val="21"/>
          <w:highlight w:val="none"/>
        </w:rPr>
        <w:t xml:space="preserve">以上图纸可根据项目进展等实际情况进行增减，但符合相关政策、文件、规划编制导则等要求； </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（十）应符合武陟县城乡总体规划、武陟县土地利用规划、武陟县国民经济和社会发展规划以及发展实际。</w:t>
      </w:r>
    </w:p>
    <w:p>
      <w:pPr>
        <w:widowControl/>
        <w:adjustRightInd w:val="0"/>
        <w:snapToGrid w:val="0"/>
        <w:spacing w:line="360" w:lineRule="auto"/>
        <w:ind w:firstLine="48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（十一）符合河南省村庄规划编制导则及国家、省市有关技术规范和规定； </w:t>
      </w:r>
    </w:p>
    <w:p>
      <w:pPr>
        <w:spacing w:line="520" w:lineRule="exact"/>
        <w:rPr>
          <w:rFonts w:hint="eastAsia" w:ascii="宋体" w:hAnsi="宋体"/>
          <w:b/>
          <w:kern w:val="0"/>
          <w:sz w:val="32"/>
          <w:szCs w:val="32"/>
          <w:highlight w:val="none"/>
        </w:rPr>
      </w:pPr>
      <w:r>
        <w:rPr>
          <w:rFonts w:hint="eastAsia" w:ascii="宋体" w:hAnsi="宋体"/>
          <w:b/>
          <w:kern w:val="0"/>
          <w:sz w:val="32"/>
          <w:szCs w:val="32"/>
          <w:highlight w:val="none"/>
        </w:rPr>
        <w:t>四、采购内容及技术要求</w:t>
      </w:r>
    </w:p>
    <w:p>
      <w:pPr>
        <w:numPr>
          <w:ilvl w:val="1"/>
          <w:numId w:val="4"/>
        </w:numPr>
        <w:spacing w:line="40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促进中小企业、监狱企业和残疾人福利性单位发展扶持政策</w:t>
      </w:r>
    </w:p>
    <w:p>
      <w:pPr>
        <w:numPr>
          <w:ilvl w:val="2"/>
          <w:numId w:val="5"/>
        </w:numPr>
        <w:spacing w:line="440" w:lineRule="exact"/>
        <w:ind w:firstLine="562" w:firstLineChars="200"/>
        <w:rPr>
          <w:rFonts w:hint="eastAsia" w:ascii="宋体" w:hAnsi="宋体"/>
          <w:bCs/>
          <w:szCs w:val="21"/>
          <w:highlight w:val="none"/>
        </w:rPr>
      </w:pPr>
      <w:r>
        <w:rPr>
          <w:rFonts w:hint="eastAsia" w:ascii="仿宋" w:hAnsi="仿宋" w:eastAsia="仿宋" w:cs="仿宋"/>
          <w:b/>
          <w:bCs/>
          <w:sz w:val="28"/>
          <w:szCs w:val="28"/>
          <w:highlight w:val="none"/>
        </w:rPr>
        <w:t>促进中小企业发展扶持政策</w:t>
      </w:r>
      <w:r>
        <w:rPr>
          <w:rFonts w:hint="eastAsia" w:ascii="宋体" w:hAnsi="宋体"/>
          <w:bCs/>
          <w:szCs w:val="21"/>
          <w:highlight w:val="none"/>
        </w:rPr>
        <w:t>：</w:t>
      </w:r>
    </w:p>
    <w:p>
      <w:pPr>
        <w:numPr>
          <w:ilvl w:val="0"/>
          <w:numId w:val="6"/>
        </w:numPr>
        <w:spacing w:line="440" w:lineRule="exact"/>
        <w:ind w:firstLine="484" w:firstLineChars="202"/>
        <w:rPr>
          <w:rFonts w:hint="eastAsia" w:ascii="宋体" w:hAnsi="宋体"/>
          <w:bCs/>
          <w:szCs w:val="21"/>
          <w:highlight w:val="none"/>
        </w:rPr>
      </w:pPr>
      <w:r>
        <w:rPr>
          <w:rFonts w:hint="eastAsia" w:ascii="宋体" w:hAnsi="宋体"/>
          <w:bCs/>
          <w:szCs w:val="21"/>
          <w:highlight w:val="none"/>
        </w:rPr>
        <w:t>中小企业认定：</w:t>
      </w:r>
    </w:p>
    <w:p>
      <w:pPr>
        <w:spacing w:line="440" w:lineRule="exact"/>
        <w:ind w:firstLine="480" w:firstLineChars="200"/>
        <w:rPr>
          <w:rFonts w:hint="eastAsia" w:ascii="宋体" w:hAnsi="宋体"/>
          <w:bCs/>
          <w:szCs w:val="21"/>
          <w:highlight w:val="none"/>
        </w:rPr>
      </w:pPr>
      <w:r>
        <w:rPr>
          <w:rFonts w:hint="eastAsia" w:ascii="宋体" w:hAnsi="宋体"/>
          <w:bCs/>
          <w:szCs w:val="21"/>
          <w:highlight w:val="none"/>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440" w:lineRule="exact"/>
        <w:ind w:firstLine="480" w:firstLineChars="200"/>
        <w:rPr>
          <w:rFonts w:hint="eastAsia" w:ascii="宋体" w:hAnsi="宋体"/>
          <w:bCs/>
          <w:szCs w:val="21"/>
          <w:highlight w:val="none"/>
        </w:rPr>
      </w:pPr>
      <w:r>
        <w:rPr>
          <w:rFonts w:hint="eastAsia" w:ascii="宋体" w:hAnsi="宋体"/>
          <w:bCs/>
          <w:szCs w:val="21"/>
          <w:highlight w:val="none"/>
        </w:rPr>
        <w:t>符合中小企业划分标准的个体工商户，在政府采购活动中视同中小企业。</w:t>
      </w:r>
    </w:p>
    <w:p>
      <w:pPr>
        <w:pStyle w:val="2"/>
        <w:spacing w:line="440" w:lineRule="atLeast"/>
        <w:ind w:firstLine="480" w:firstLineChars="200"/>
        <w:jc w:val="left"/>
        <w:rPr>
          <w:rFonts w:hint="eastAsia" w:ascii="宋体" w:hAnsi="宋体" w:eastAsia="宋体" w:cs="宋体"/>
          <w:bCs/>
          <w:kern w:val="2"/>
          <w:sz w:val="24"/>
          <w:szCs w:val="21"/>
          <w:highlight w:val="none"/>
          <w:lang w:val="en-US" w:eastAsia="zh-CN" w:bidi="ar-SA"/>
        </w:rPr>
      </w:pPr>
      <w:r>
        <w:rPr>
          <w:highlight w:val="none"/>
        </w:rPr>
        <w:t>中小企业划分标准见《关于印发中小企业划型标准规定的通知》（工信部联企业</w:t>
      </w:r>
      <w:r>
        <w:rPr>
          <w:rFonts w:hint="eastAsia" w:ascii="宋体" w:hAnsi="宋体" w:eastAsia="宋体" w:cs="宋体"/>
          <w:bCs/>
          <w:kern w:val="2"/>
          <w:sz w:val="24"/>
          <w:szCs w:val="21"/>
          <w:highlight w:val="none"/>
          <w:lang w:val="en-US" w:eastAsia="zh-CN" w:bidi="ar-SA"/>
        </w:rPr>
        <w:t>〔2011〕300号）</w:t>
      </w:r>
    </w:p>
    <w:p>
      <w:pPr>
        <w:spacing w:line="440" w:lineRule="exact"/>
        <w:ind w:firstLine="484" w:firstLineChars="202"/>
        <w:rPr>
          <w:rFonts w:hint="eastAsia" w:ascii="宋体" w:hAnsi="宋体" w:eastAsia="宋体" w:cs="宋体"/>
          <w:bCs/>
          <w:kern w:val="2"/>
          <w:sz w:val="24"/>
          <w:szCs w:val="21"/>
          <w:highlight w:val="none"/>
          <w:lang w:val="en-US" w:eastAsia="zh-CN" w:bidi="ar-SA"/>
        </w:rPr>
      </w:pPr>
      <w:r>
        <w:rPr>
          <w:rFonts w:hint="eastAsia" w:ascii="宋体" w:hAnsi="宋体" w:eastAsia="宋体" w:cs="宋体"/>
          <w:bCs/>
          <w:kern w:val="2"/>
          <w:sz w:val="24"/>
          <w:szCs w:val="21"/>
          <w:highlight w:val="none"/>
          <w:lang w:val="en-US" w:eastAsia="zh-CN" w:bidi="ar-SA"/>
        </w:rPr>
        <w:t>2.在服务采购项目中，服务由中小企业承接，即提供服务的人员为中小企业依照《中华人民共和国劳动合同法》订立劳动合同的从业人员。</w:t>
      </w:r>
    </w:p>
    <w:p>
      <w:pPr>
        <w:spacing w:line="440" w:lineRule="atLeast"/>
        <w:ind w:firstLine="484" w:firstLineChars="202"/>
        <w:rPr>
          <w:rFonts w:hint="eastAsia" w:ascii="宋体" w:hAnsi="宋体" w:eastAsia="宋体" w:cs="宋体"/>
          <w:bCs/>
          <w:kern w:val="2"/>
          <w:sz w:val="24"/>
          <w:szCs w:val="21"/>
          <w:highlight w:val="none"/>
          <w:lang w:val="en-US" w:eastAsia="zh-CN" w:bidi="ar-SA"/>
        </w:rPr>
      </w:pPr>
      <w:r>
        <w:rPr>
          <w:rFonts w:hint="eastAsia" w:ascii="宋体" w:hAnsi="宋体" w:eastAsia="宋体" w:cs="宋体"/>
          <w:bCs/>
          <w:kern w:val="2"/>
          <w:sz w:val="24"/>
          <w:szCs w:val="21"/>
          <w:highlight w:val="none"/>
          <w:lang w:val="en-US" w:eastAsia="zh-CN" w:bidi="ar-SA"/>
        </w:rPr>
        <w:t>投标人当按照招标文件规定出具《中小企业声明函》，否则不享受相关扶持政策；</w:t>
      </w:r>
    </w:p>
    <w:p>
      <w:pPr>
        <w:spacing w:line="440" w:lineRule="atLeast"/>
        <w:rPr>
          <w:rFonts w:hint="eastAsia" w:ascii="宋体" w:hAnsi="宋体"/>
          <w:bCs/>
          <w:szCs w:val="21"/>
          <w:highlight w:val="none"/>
        </w:rPr>
      </w:pPr>
      <w:r>
        <w:rPr>
          <w:rFonts w:hint="eastAsia" w:ascii="宋体" w:hAnsi="宋体"/>
          <w:bCs/>
          <w:szCs w:val="21"/>
          <w:highlight w:val="none"/>
        </w:rPr>
        <w:t>　　3.根据财库〔2014〕68号《财政部司法部关于政府采购支持监狱企业发展有关问题的通知》，监狱企业视同小微企业。提供由省级以上监狱管理局、戒毒管理局(含新疆生产建设兵团)出具的属于监狱企业的证明文件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Cs/>
          <w:color w:val="FF0000"/>
          <w:szCs w:val="21"/>
          <w:highlight w:val="none"/>
        </w:rPr>
        <w:t>（提供加盖企业</w:t>
      </w:r>
      <w:r>
        <w:rPr>
          <w:rFonts w:hint="eastAsia" w:ascii="宋体" w:hAnsi="宋体"/>
          <w:bCs/>
          <w:color w:val="FF0000"/>
          <w:szCs w:val="21"/>
          <w:highlight w:val="none"/>
          <w:lang w:eastAsia="zh-CN"/>
        </w:rPr>
        <w:t>公章</w:t>
      </w:r>
      <w:r>
        <w:rPr>
          <w:rFonts w:hint="eastAsia" w:ascii="宋体" w:hAnsi="宋体"/>
          <w:bCs/>
          <w:color w:val="FF0000"/>
          <w:szCs w:val="21"/>
          <w:highlight w:val="none"/>
        </w:rPr>
        <w:t>的扫描件）</w:t>
      </w:r>
      <w:r>
        <w:rPr>
          <w:rFonts w:hint="eastAsia" w:ascii="宋体" w:hAnsi="宋体"/>
          <w:bCs/>
          <w:szCs w:val="21"/>
          <w:highlight w:val="none"/>
        </w:rPr>
        <w:t>，不再提供《中小企业声明函》,投标人出具的监狱企业证明文件如有虚假，其成交资格将被取消，并根据相关规定进行处罚。</w:t>
      </w:r>
    </w:p>
    <w:p>
      <w:pPr>
        <w:spacing w:line="440" w:lineRule="atLeast"/>
        <w:ind w:firstLine="480" w:firstLineChars="200"/>
        <w:rPr>
          <w:rFonts w:hint="eastAsia" w:ascii="宋体" w:hAnsi="宋体"/>
          <w:bCs/>
          <w:szCs w:val="21"/>
          <w:highlight w:val="none"/>
        </w:rPr>
      </w:pPr>
      <w:r>
        <w:rPr>
          <w:rFonts w:hint="eastAsia" w:ascii="宋体" w:hAnsi="宋体"/>
          <w:bCs/>
          <w:szCs w:val="21"/>
          <w:highlight w:val="none"/>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spacing w:line="440" w:lineRule="exact"/>
        <w:ind w:firstLine="482" w:firstLineChars="200"/>
        <w:rPr>
          <w:rFonts w:hint="eastAsia" w:ascii="宋体" w:hAnsi="宋体"/>
          <w:b/>
          <w:bCs/>
          <w:szCs w:val="21"/>
          <w:highlight w:val="none"/>
        </w:rPr>
      </w:pPr>
      <w:r>
        <w:rPr>
          <w:rFonts w:hint="eastAsia" w:ascii="宋体" w:hAnsi="宋体"/>
          <w:b/>
          <w:bCs/>
          <w:szCs w:val="21"/>
          <w:highlight w:val="none"/>
        </w:rPr>
        <w:t>投标人同时为小型、微型企业、监狱企业、残疾人福利性单位任两种或以上情况的，评审中只享受一次价格扣除，不重复进行价格扣除。</w:t>
      </w:r>
    </w:p>
    <w:p>
      <w:pPr>
        <w:spacing w:line="440" w:lineRule="exact"/>
        <w:ind w:firstLine="482" w:firstLineChars="200"/>
        <w:rPr>
          <w:rFonts w:hint="eastAsia" w:ascii="宋体" w:hAnsi="宋体"/>
          <w:b/>
          <w:bCs/>
          <w:szCs w:val="21"/>
          <w:highlight w:val="none"/>
        </w:rPr>
      </w:pPr>
      <w:r>
        <w:rPr>
          <w:rFonts w:hint="eastAsia" w:ascii="宋体" w:hAnsi="宋体"/>
          <w:b/>
          <w:bCs/>
          <w:szCs w:val="21"/>
          <w:highlight w:val="none"/>
        </w:rPr>
        <w:t>评标委员会根据投标人提供的《中小企业声明函》认定该投标人是否属于小型或微型企业，被认定为小型或微型企业的方可享受价格优惠。</w:t>
      </w:r>
    </w:p>
    <w:p>
      <w:pPr>
        <w:numPr>
          <w:ilvl w:val="1"/>
          <w:numId w:val="4"/>
        </w:numPr>
        <w:spacing w:line="440" w:lineRule="atLeast"/>
        <w:ind w:firstLine="562" w:firstLineChars="200"/>
        <w:rPr>
          <w:rFonts w:hint="eastAsia" w:ascii="仿宋" w:hAnsi="仿宋" w:eastAsia="仿宋" w:cs="仿宋"/>
          <w:b/>
          <w:bCs/>
          <w:sz w:val="28"/>
          <w:szCs w:val="28"/>
          <w:highlight w:val="none"/>
        </w:rPr>
      </w:pPr>
      <w:r>
        <w:rPr>
          <w:rFonts w:ascii="仿宋" w:hAnsi="仿宋" w:eastAsia="仿宋" w:cs="仿宋"/>
          <w:b/>
          <w:bCs/>
          <w:sz w:val="28"/>
          <w:szCs w:val="28"/>
          <w:highlight w:val="none"/>
        </w:rPr>
        <w:t>节能产品、环境标志产品</w:t>
      </w:r>
    </w:p>
    <w:p>
      <w:pPr>
        <w:spacing w:line="440" w:lineRule="atLeast"/>
        <w:ind w:firstLine="484" w:firstLineChars="202"/>
        <w:rPr>
          <w:rFonts w:hint="eastAsia" w:ascii="宋体" w:hAnsi="宋体"/>
          <w:bCs/>
          <w:szCs w:val="21"/>
          <w:highlight w:val="none"/>
        </w:rPr>
      </w:pPr>
      <w:r>
        <w:rPr>
          <w:rFonts w:hint="eastAsia" w:ascii="宋体" w:hAnsi="宋体"/>
          <w:bCs/>
          <w:szCs w:val="21"/>
          <w:highlight w:val="none"/>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szCs w:val="21"/>
          <w:highlight w:val="none"/>
        </w:rPr>
        <w:t>（</w:t>
      </w:r>
      <w:r>
        <w:rPr>
          <w:rFonts w:hint="eastAsia" w:ascii="宋体" w:hAnsi="宋体"/>
          <w:b/>
          <w:bCs/>
          <w:kern w:val="0"/>
          <w:szCs w:val="21"/>
          <w:highlight w:val="none"/>
        </w:rPr>
        <w:t>投标文件中附原件的扫描件加盖投标单位电子签章</w:t>
      </w:r>
      <w:r>
        <w:rPr>
          <w:rFonts w:hint="eastAsia" w:ascii="宋体" w:hAnsi="宋体"/>
          <w:b/>
          <w:bCs/>
          <w:szCs w:val="21"/>
          <w:highlight w:val="none"/>
        </w:rPr>
        <w:t>）</w:t>
      </w:r>
      <w:r>
        <w:rPr>
          <w:rFonts w:hint="eastAsia" w:ascii="宋体" w:hAnsi="宋体"/>
          <w:bCs/>
          <w:szCs w:val="21"/>
          <w:highlight w:val="none"/>
        </w:rPr>
        <w:t>，否则不予认定。</w:t>
      </w:r>
    </w:p>
    <w:p>
      <w:pPr>
        <w:numPr>
          <w:ilvl w:val="1"/>
          <w:numId w:val="4"/>
        </w:numPr>
        <w:spacing w:line="440" w:lineRule="atLeas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信息安全产品</w:t>
      </w:r>
    </w:p>
    <w:p>
      <w:pPr>
        <w:spacing w:line="440" w:lineRule="atLeast"/>
        <w:ind w:firstLine="484" w:firstLineChars="202"/>
        <w:rPr>
          <w:rFonts w:hint="eastAsia"/>
          <w:b/>
          <w:bCs/>
          <w:highlight w:val="none"/>
        </w:rPr>
      </w:pPr>
      <w:r>
        <w:rPr>
          <w:rFonts w:hint="eastAsia" w:ascii="宋体" w:hAnsi="宋体"/>
          <w:bCs/>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szCs w:val="21"/>
          <w:highlight w:val="none"/>
        </w:rPr>
        <w:t>（</w:t>
      </w:r>
      <w:r>
        <w:rPr>
          <w:rFonts w:hint="eastAsia" w:ascii="宋体" w:hAnsi="宋体"/>
          <w:b/>
          <w:bCs/>
          <w:kern w:val="0"/>
          <w:szCs w:val="21"/>
          <w:highlight w:val="none"/>
        </w:rPr>
        <w:t>投标文件中附原件的扫描件加盖投标单位电子签章</w:t>
      </w:r>
      <w:r>
        <w:rPr>
          <w:rFonts w:hint="eastAsia" w:ascii="宋体" w:hAnsi="宋体"/>
          <w:b/>
          <w:bCs/>
          <w:szCs w:val="21"/>
          <w:highlight w:val="none"/>
        </w:rPr>
        <w:t>）</w:t>
      </w:r>
      <w:r>
        <w:rPr>
          <w:rFonts w:hint="eastAsia" w:ascii="宋体" w:hAnsi="宋体"/>
          <w:bCs/>
          <w:szCs w:val="21"/>
          <w:highlight w:val="none"/>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ook Antiqua">
    <w:altName w:val="Segoe Print"/>
    <w:panose1 w:val="02040602050305030304"/>
    <w:charset w:val="00"/>
    <w:family w:val="roman"/>
    <w:pitch w:val="default"/>
    <w:sig w:usb0="00000000" w:usb1="00000000" w:usb2="00000000" w:usb3="00000000" w:csb0="0000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E778E3A4"/>
    <w:multiLevelType w:val="singleLevel"/>
    <w:tmpl w:val="E778E3A4"/>
    <w:lvl w:ilvl="0" w:tentative="0">
      <w:start w:val="9"/>
      <w:numFmt w:val="chineseCounting"/>
      <w:suff w:val="nothing"/>
      <w:lvlText w:val="（%1）"/>
      <w:lvlJc w:val="left"/>
      <w:rPr>
        <w:rFonts w:hint="eastAsia"/>
      </w:rPr>
    </w:lvl>
  </w:abstractNum>
  <w:abstractNum w:abstractNumId="2">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3E772C"/>
    <w:rsid w:val="533E7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basedOn w:val="1"/>
    <w:qFormat/>
    <w:uiPriority w:val="0"/>
    <w:pPr>
      <w:spacing w:line="400" w:lineRule="exact"/>
    </w:pPr>
    <w:rPr>
      <w:rFonts w:eastAsia="宋体"/>
      <w:sz w:val="24"/>
    </w:r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2021-04-19T09:37:00Z</dcterms:created>
  <dc:creator>只愿你笑</dc:creator>
  <cp:lastModifiedBy>只愿你笑</cp:lastModifiedBy>
  <dcterms:modified xsi:type="dcterms:W3CDTF">2021-04-19T09:38:30Z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78A02C08ACD34DE6A22BC44C93AA69E5</vt:lpwstr>
  </property>
</Properties>
</file>